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E5" w:rsidRPr="00306656" w:rsidRDefault="00752024" w:rsidP="00C04EBA">
      <w:pPr>
        <w:spacing w:after="0" w:line="240" w:lineRule="auto"/>
        <w:jc w:val="both"/>
        <w:rPr>
          <w:b/>
          <w:color w:val="00B050"/>
        </w:rPr>
      </w:pPr>
      <w:r>
        <w:rPr>
          <w:b/>
          <w:color w:val="00B050"/>
        </w:rPr>
        <w:t>HUISHOUDELIJK REGLEMENT</w:t>
      </w:r>
      <w:r w:rsidR="00DB71BC">
        <w:rPr>
          <w:b/>
          <w:color w:val="00B050"/>
        </w:rPr>
        <w:t>: BESTEED ER DE NODIGE AANDACHT AAN!</w:t>
      </w:r>
    </w:p>
    <w:p w:rsidR="006960A7" w:rsidRDefault="006960A7" w:rsidP="00C04EBA">
      <w:pPr>
        <w:spacing w:after="0" w:line="240" w:lineRule="auto"/>
        <w:jc w:val="both"/>
        <w:rPr>
          <w:color w:val="1F4E79" w:themeColor="accent1" w:themeShade="80"/>
        </w:rPr>
      </w:pPr>
    </w:p>
    <w:p w:rsidR="00DB71BC" w:rsidRDefault="00DB71BC" w:rsidP="00C04EBA">
      <w:p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Het huishoudelijk reglement is een verplicht op te stellen document</w:t>
      </w:r>
      <w:r w:rsidR="00C04EBA">
        <w:rPr>
          <w:color w:val="1F4E79" w:themeColor="accent1" w:themeShade="80"/>
        </w:rPr>
        <w:t>.</w:t>
      </w:r>
      <w:r>
        <w:rPr>
          <w:color w:val="1F4E79" w:themeColor="accent1" w:themeShade="80"/>
        </w:rPr>
        <w:t xml:space="preserve"> Het moet een aantal verplichte vermeldingen bevatten.</w:t>
      </w:r>
    </w:p>
    <w:p w:rsidR="00DB71BC" w:rsidRDefault="00DB71BC" w:rsidP="00C04EBA">
      <w:pPr>
        <w:spacing w:after="0" w:line="240" w:lineRule="auto"/>
        <w:jc w:val="both"/>
        <w:rPr>
          <w:color w:val="1F4E79" w:themeColor="accent1" w:themeShade="80"/>
        </w:rPr>
      </w:pPr>
    </w:p>
    <w:p w:rsidR="00C04EBA" w:rsidRDefault="00DB71BC" w:rsidP="00C04EBA">
      <w:p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Beschouw het </w:t>
      </w:r>
      <w:bookmarkStart w:id="0" w:name="_GoBack"/>
      <w:bookmarkEnd w:id="0"/>
      <w:r>
        <w:rPr>
          <w:color w:val="1F4E79" w:themeColor="accent1" w:themeShade="80"/>
        </w:rPr>
        <w:t xml:space="preserve">niet als het zoveelste sociale document dat moet worden opgemaakt. Een goed opgesteld huishoudelijk reglement </w:t>
      </w:r>
      <w:r w:rsidR="00742252">
        <w:rPr>
          <w:color w:val="1F4E79" w:themeColor="accent1" w:themeShade="80"/>
        </w:rPr>
        <w:t xml:space="preserve">kan veel discussies vermijden en ligt aan de basis van </w:t>
      </w:r>
      <w:r>
        <w:rPr>
          <w:color w:val="1F4E79" w:themeColor="accent1" w:themeShade="80"/>
        </w:rPr>
        <w:t xml:space="preserve">een vlotte werking van het comité en de ondernemingsraad. </w:t>
      </w:r>
      <w:r w:rsidR="00C04EBA">
        <w:rPr>
          <w:color w:val="1F4E79" w:themeColor="accent1" w:themeShade="80"/>
        </w:rPr>
        <w:t xml:space="preserve"> </w:t>
      </w:r>
    </w:p>
    <w:p w:rsidR="00BD7577" w:rsidRDefault="00BD7577" w:rsidP="00C04EBA">
      <w:pPr>
        <w:spacing w:after="0" w:line="240" w:lineRule="auto"/>
        <w:jc w:val="both"/>
        <w:rPr>
          <w:color w:val="1F4E79" w:themeColor="accent1" w:themeShade="80"/>
        </w:rPr>
      </w:pPr>
    </w:p>
    <w:p w:rsidR="00BD7577" w:rsidRDefault="00BD7577" w:rsidP="00C04EBA">
      <w:pPr>
        <w:spacing w:after="0" w:line="240" w:lineRule="auto"/>
        <w:jc w:val="both"/>
        <w:rPr>
          <w:color w:val="1F4E79" w:themeColor="accent1" w:themeShade="80"/>
          <w:u w:val="single"/>
        </w:rPr>
      </w:pPr>
      <w:r w:rsidRPr="00BD7577">
        <w:rPr>
          <w:color w:val="1F4E79" w:themeColor="accent1" w:themeShade="80"/>
          <w:u w:val="single"/>
        </w:rPr>
        <w:t>Verplichte vermeldingen</w:t>
      </w:r>
    </w:p>
    <w:p w:rsidR="00BD7577" w:rsidRPr="00BD7577" w:rsidRDefault="00BD7577" w:rsidP="00C04EBA">
      <w:p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De volgende 10 punten moeten verplicht worden opgenomen in het huishoudelijk reglement: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termijn voor de inschrijving van een kwestie op de agenda;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termijn voor de oproeping van de vergadering;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inhoud van de oproeping waarin de punten van de agenda vermeld worden;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de taak van de voorzitter en de modaliteiten van zijn vervanging;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de taak van de secretaris en de modaliteiten van zijn keuze en zijn vervanging;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na te leven regels in verband met het verloop van de vergadering;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modaliteiten voor het opstellen en goedkeuren van de notulen van de vergaderingen en van de mededeling ervan aan elk lid van de raad;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wijze waarop het personeel wordt voorgelicht en in kennis wordt gesteld van de werkzaamheden van het comité/de raad;</w:t>
      </w:r>
    </w:p>
    <w:p w:rsid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wijze van bewaring van het archief en de modaliteiten van inzage ervan door de leden van het comité/de raad;</w:t>
      </w:r>
    </w:p>
    <w:p w:rsidR="00BD7577" w:rsidRPr="00BD7577" w:rsidRDefault="00BD7577" w:rsidP="00BD7577">
      <w:pPr>
        <w:pStyle w:val="Lijstalinea"/>
        <w:numPr>
          <w:ilvl w:val="0"/>
          <w:numId w:val="3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procedure tot wijziging van het huishoudelijk reglement. </w:t>
      </w:r>
    </w:p>
    <w:p w:rsidR="00BD7577" w:rsidRDefault="00BD7577" w:rsidP="00C04EBA">
      <w:pPr>
        <w:spacing w:after="0" w:line="240" w:lineRule="auto"/>
        <w:jc w:val="both"/>
        <w:rPr>
          <w:color w:val="1F4E79" w:themeColor="accent1" w:themeShade="80"/>
        </w:rPr>
      </w:pPr>
    </w:p>
    <w:p w:rsidR="00BD7577" w:rsidRPr="005025A6" w:rsidRDefault="00BD7577" w:rsidP="00C04EBA">
      <w:pPr>
        <w:spacing w:after="0" w:line="240" w:lineRule="auto"/>
        <w:jc w:val="both"/>
        <w:rPr>
          <w:color w:val="1F4E79" w:themeColor="accent1" w:themeShade="80"/>
          <w:u w:val="single"/>
        </w:rPr>
      </w:pPr>
      <w:r w:rsidRPr="005025A6">
        <w:rPr>
          <w:color w:val="1F4E79" w:themeColor="accent1" w:themeShade="80"/>
          <w:u w:val="single"/>
        </w:rPr>
        <w:t>Facultatieve vermeldingen</w:t>
      </w:r>
    </w:p>
    <w:p w:rsidR="005025A6" w:rsidRDefault="00BD7577" w:rsidP="00C04EBA">
      <w:p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Onderstaande vermeldingen moeten niet verplicht</w:t>
      </w:r>
      <w:r w:rsidR="005025A6">
        <w:rPr>
          <w:color w:val="1F4E79" w:themeColor="accent1" w:themeShade="80"/>
        </w:rPr>
        <w:t xml:space="preserve"> worden opgenomen, maar het is </w:t>
      </w:r>
      <w:r>
        <w:rPr>
          <w:color w:val="1F4E79" w:themeColor="accent1" w:themeShade="80"/>
        </w:rPr>
        <w:t xml:space="preserve">aangeraden om </w:t>
      </w:r>
      <w:r w:rsidR="005025A6">
        <w:rPr>
          <w:color w:val="1F4E79" w:themeColor="accent1" w:themeShade="80"/>
        </w:rPr>
        <w:t xml:space="preserve">hierover </w:t>
      </w:r>
      <w:r>
        <w:rPr>
          <w:color w:val="1F4E79" w:themeColor="accent1" w:themeShade="80"/>
        </w:rPr>
        <w:t xml:space="preserve">afspraken </w:t>
      </w:r>
      <w:r w:rsidR="005025A6">
        <w:rPr>
          <w:color w:val="1F4E79" w:themeColor="accent1" w:themeShade="80"/>
        </w:rPr>
        <w:t>vast te leggen: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tijdstip en plaats van de vaste vergaderingen;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de faciliteiten van de werknemersafgevaardigden (indien niet voorzien in een sectorale cao);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betrekken van de plaatsvervangende leden bij de werking van het comité/de raad;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betaling van de prestaties van de personeelsafgevaardigden;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wijze waarop de leden agendapunten kunnen indienen + binnen welke termijn;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taal;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horen van andere personeelsleden;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deelname van deskundigen aan de vergaderingen;</w:t>
      </w:r>
    </w:p>
    <w:p w:rsid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wijze van verzending van de  documenten;</w:t>
      </w:r>
    </w:p>
    <w:p w:rsidR="005025A6" w:rsidRPr="005025A6" w:rsidRDefault="005025A6" w:rsidP="005025A6">
      <w:pPr>
        <w:pStyle w:val="Lijstalinea"/>
        <w:numPr>
          <w:ilvl w:val="0"/>
          <w:numId w:val="4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wijze waarop beslissingen worden genomen. </w:t>
      </w:r>
    </w:p>
    <w:sectPr w:rsidR="005025A6" w:rsidRPr="0050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75.95pt;height:174.7pt" o:bullet="t">
        <v:imagedata r:id="rId1" o:title="opsomming SS"/>
      </v:shape>
    </w:pict>
  </w:numPicBullet>
  <w:abstractNum w:abstractNumId="0" w15:restartNumberingAfterBreak="0">
    <w:nsid w:val="0A4C2DEE"/>
    <w:multiLevelType w:val="hybridMultilevel"/>
    <w:tmpl w:val="6DDE51BC"/>
    <w:lvl w:ilvl="0" w:tplc="4DDE93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779A3"/>
    <w:multiLevelType w:val="hybridMultilevel"/>
    <w:tmpl w:val="4B7641D4"/>
    <w:lvl w:ilvl="0" w:tplc="4DDE93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E38E9"/>
    <w:multiLevelType w:val="hybridMultilevel"/>
    <w:tmpl w:val="7176329E"/>
    <w:lvl w:ilvl="0" w:tplc="4DDE93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F4205"/>
    <w:multiLevelType w:val="hybridMultilevel"/>
    <w:tmpl w:val="D3A285EC"/>
    <w:lvl w:ilvl="0" w:tplc="4DDE93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61"/>
    <w:rsid w:val="00070954"/>
    <w:rsid w:val="00156A2B"/>
    <w:rsid w:val="00164561"/>
    <w:rsid w:val="00234E0C"/>
    <w:rsid w:val="00306656"/>
    <w:rsid w:val="003B7A67"/>
    <w:rsid w:val="005025A6"/>
    <w:rsid w:val="005A1A2F"/>
    <w:rsid w:val="006960A7"/>
    <w:rsid w:val="00742252"/>
    <w:rsid w:val="00752024"/>
    <w:rsid w:val="0083591D"/>
    <w:rsid w:val="0087156E"/>
    <w:rsid w:val="00967CE5"/>
    <w:rsid w:val="009946B0"/>
    <w:rsid w:val="00BD7577"/>
    <w:rsid w:val="00BE1626"/>
    <w:rsid w:val="00C04EBA"/>
    <w:rsid w:val="00CD1F48"/>
    <w:rsid w:val="00D47078"/>
    <w:rsid w:val="00DB71BC"/>
    <w:rsid w:val="00E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254FEF-3FBC-4D53-9454-7D2B33D9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T Std 45 Book" w:eastAsiaTheme="minorHAnsi" w:hAnsi="Avenir LT Std 45 Book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LBGroup">
    <w:name w:val="CLB Group"/>
    <w:basedOn w:val="Standaard"/>
    <w:link w:val="CLBGroupChar"/>
    <w:qFormat/>
    <w:rsid w:val="005A1A2F"/>
    <w:rPr>
      <w:color w:val="073288"/>
    </w:rPr>
  </w:style>
  <w:style w:type="character" w:customStyle="1" w:styleId="CLBGroupChar">
    <w:name w:val="CLB Group Char"/>
    <w:basedOn w:val="Standaardalinea-lettertype"/>
    <w:link w:val="CLBGroup"/>
    <w:rsid w:val="005A1A2F"/>
    <w:rPr>
      <w:rFonts w:ascii="Avenir LT Std 45 Book" w:hAnsi="Avenir LT Std 45 Book"/>
      <w:color w:val="073288"/>
    </w:rPr>
  </w:style>
  <w:style w:type="paragraph" w:customStyle="1" w:styleId="CLBSS">
    <w:name w:val="CLB SS"/>
    <w:basedOn w:val="CLBGroup"/>
    <w:link w:val="CLBSSChar"/>
    <w:qFormat/>
    <w:rsid w:val="005A1A2F"/>
    <w:rPr>
      <w:color w:val="0067AD"/>
    </w:rPr>
  </w:style>
  <w:style w:type="character" w:customStyle="1" w:styleId="CLBSSChar">
    <w:name w:val="CLB SS Char"/>
    <w:basedOn w:val="CLBGroupChar"/>
    <w:link w:val="CLBSS"/>
    <w:rsid w:val="005A1A2F"/>
    <w:rPr>
      <w:rFonts w:ascii="Avenir LT Std 45 Book" w:hAnsi="Avenir LT Std 45 Book"/>
      <w:color w:val="0067AD"/>
    </w:rPr>
  </w:style>
  <w:style w:type="paragraph" w:customStyle="1" w:styleId="CLBConsult">
    <w:name w:val="CLB Consult"/>
    <w:basedOn w:val="CLBSS"/>
    <w:link w:val="CLBConsultChar"/>
    <w:qFormat/>
    <w:rsid w:val="005A1A2F"/>
    <w:rPr>
      <w:color w:val="00ABE3"/>
    </w:rPr>
  </w:style>
  <w:style w:type="character" w:customStyle="1" w:styleId="CLBConsultChar">
    <w:name w:val="CLB Consult Char"/>
    <w:basedOn w:val="CLBSSChar"/>
    <w:link w:val="CLBConsult"/>
    <w:rsid w:val="005A1A2F"/>
    <w:rPr>
      <w:rFonts w:ascii="Avenir LT Std 45 Book" w:hAnsi="Avenir LT Std 45 Book"/>
      <w:color w:val="00ABE3"/>
    </w:rPr>
  </w:style>
  <w:style w:type="paragraph" w:customStyle="1" w:styleId="CLBEDPB">
    <w:name w:val="CLB EDPB"/>
    <w:basedOn w:val="CLBConsult"/>
    <w:link w:val="CLBEDPBChar"/>
    <w:qFormat/>
    <w:rsid w:val="005A1A2F"/>
    <w:rPr>
      <w:color w:val="8D4C7B"/>
    </w:rPr>
  </w:style>
  <w:style w:type="character" w:customStyle="1" w:styleId="CLBEDPBChar">
    <w:name w:val="CLB EDPB Char"/>
    <w:basedOn w:val="CLBConsultChar"/>
    <w:link w:val="CLBEDPB"/>
    <w:rsid w:val="005A1A2F"/>
    <w:rPr>
      <w:rFonts w:ascii="Avenir LT Std 45 Book" w:hAnsi="Avenir LT Std 45 Book"/>
      <w:color w:val="8D4C7B"/>
    </w:rPr>
  </w:style>
  <w:style w:type="paragraph" w:customStyle="1" w:styleId="CLBMCA">
    <w:name w:val="CLB MCA"/>
    <w:basedOn w:val="CLBEDPB"/>
    <w:link w:val="CLBMCAChar"/>
    <w:qFormat/>
    <w:rsid w:val="005A1A2F"/>
    <w:rPr>
      <w:color w:val="722382"/>
    </w:rPr>
  </w:style>
  <w:style w:type="character" w:customStyle="1" w:styleId="CLBMCAChar">
    <w:name w:val="CLB MCA Char"/>
    <w:basedOn w:val="CLBEDPBChar"/>
    <w:link w:val="CLBMCA"/>
    <w:rsid w:val="005A1A2F"/>
    <w:rPr>
      <w:rFonts w:ascii="Avenir LT Std 45 Book" w:hAnsi="Avenir LT Std 45 Book"/>
      <w:color w:val="722382"/>
    </w:rPr>
  </w:style>
  <w:style w:type="paragraph" w:customStyle="1" w:styleId="CLBVerz">
    <w:name w:val="CLB Verz"/>
    <w:basedOn w:val="CLBMCA"/>
    <w:link w:val="CLBVerzChar"/>
    <w:qFormat/>
    <w:rsid w:val="005A1A2F"/>
    <w:rPr>
      <w:color w:val="8F003E"/>
    </w:rPr>
  </w:style>
  <w:style w:type="character" w:customStyle="1" w:styleId="CLBVerzChar">
    <w:name w:val="CLB Verz Char"/>
    <w:basedOn w:val="CLBMCAChar"/>
    <w:link w:val="CLBVerz"/>
    <w:rsid w:val="005A1A2F"/>
    <w:rPr>
      <w:rFonts w:ascii="Avenir LT Std 45 Book" w:hAnsi="Avenir LT Std 45 Book"/>
      <w:color w:val="8F003E"/>
    </w:rPr>
  </w:style>
  <w:style w:type="paragraph" w:customStyle="1" w:styleId="CLBICT">
    <w:name w:val="CLB ICT"/>
    <w:basedOn w:val="CLBVerz"/>
    <w:link w:val="CLBICTChar"/>
    <w:qFormat/>
    <w:rsid w:val="005A1A2F"/>
    <w:rPr>
      <w:color w:val="ED1C24"/>
    </w:rPr>
  </w:style>
  <w:style w:type="character" w:customStyle="1" w:styleId="CLBICTChar">
    <w:name w:val="CLB ICT Char"/>
    <w:basedOn w:val="CLBVerzChar"/>
    <w:link w:val="CLBICT"/>
    <w:rsid w:val="005A1A2F"/>
    <w:rPr>
      <w:rFonts w:ascii="Avenir LT Std 45 Book" w:hAnsi="Avenir LT Std 45 Book"/>
      <w:color w:val="ED1C24"/>
    </w:rPr>
  </w:style>
  <w:style w:type="character" w:styleId="Hyperlink">
    <w:name w:val="Hyperlink"/>
    <w:basedOn w:val="Standaardalinea-lettertype"/>
    <w:uiPriority w:val="99"/>
    <w:unhideWhenUsed/>
    <w:rsid w:val="006960A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960A7"/>
    <w:pPr>
      <w:ind w:left="720"/>
      <w:contextualSpacing/>
    </w:pPr>
  </w:style>
  <w:style w:type="table" w:styleId="Tabelraster">
    <w:name w:val="Table Grid"/>
    <w:basedOn w:val="Standaardtabel"/>
    <w:uiPriority w:val="39"/>
    <w:rsid w:val="0087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6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 ICT &amp; Hosting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Houbrechts</dc:creator>
  <cp:keywords/>
  <dc:description/>
  <cp:lastModifiedBy>Anja Houbrechts</cp:lastModifiedBy>
  <cp:revision>6</cp:revision>
  <cp:lastPrinted>2019-07-25T06:42:00Z</cp:lastPrinted>
  <dcterms:created xsi:type="dcterms:W3CDTF">2019-07-18T12:19:00Z</dcterms:created>
  <dcterms:modified xsi:type="dcterms:W3CDTF">2019-07-25T10:00:00Z</dcterms:modified>
</cp:coreProperties>
</file>