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E5" w:rsidRPr="007061E6" w:rsidRDefault="00BD10DB" w:rsidP="00CF0F82">
      <w:pPr>
        <w:spacing w:after="0" w:line="240" w:lineRule="auto"/>
        <w:jc w:val="both"/>
        <w:rPr>
          <w:b/>
          <w:color w:val="00B050"/>
        </w:rPr>
      </w:pPr>
      <w:r>
        <w:rPr>
          <w:b/>
          <w:color w:val="00B050"/>
        </w:rPr>
        <w:t xml:space="preserve">OP </w:t>
      </w:r>
      <w:r w:rsidR="00B917E6">
        <w:rPr>
          <w:b/>
          <w:color w:val="00B050"/>
        </w:rPr>
        <w:t>HOEVEEL MANDATEN HEBBEN DE WERKNEMERS</w:t>
      </w:r>
      <w:r>
        <w:rPr>
          <w:b/>
          <w:color w:val="00B050"/>
        </w:rPr>
        <w:t xml:space="preserve"> RECHT</w:t>
      </w:r>
      <w:r w:rsidR="00B917E6">
        <w:rPr>
          <w:b/>
          <w:color w:val="00B050"/>
        </w:rPr>
        <w:t>?</w:t>
      </w:r>
    </w:p>
    <w:p w:rsidR="00A559C2" w:rsidRDefault="00A559C2" w:rsidP="00CF0F82">
      <w:pPr>
        <w:spacing w:after="0" w:line="240" w:lineRule="auto"/>
        <w:jc w:val="both"/>
        <w:rPr>
          <w:color w:val="1F4E79" w:themeColor="accent1" w:themeShade="80"/>
        </w:rPr>
      </w:pPr>
    </w:p>
    <w:p w:rsidR="00445105" w:rsidRDefault="00BD10DB" w:rsidP="00CF0F82">
      <w:pPr>
        <w:spacing w:after="0" w:line="240" w:lineRule="auto"/>
        <w:jc w:val="both"/>
        <w:rPr>
          <w:color w:val="1F4E79" w:themeColor="accent1" w:themeShade="80"/>
        </w:rPr>
      </w:pPr>
      <w:r>
        <w:rPr>
          <w:color w:val="1F4E79" w:themeColor="accent1" w:themeShade="80"/>
        </w:rPr>
        <w:t xml:space="preserve">Het aantal te begeven mandaten wordt berekend op basis van het aantal werknemers die in dienst zijn op dag X. Het maakt niet uit of deze werknemers stemgerechtigd zijn of niet. </w:t>
      </w:r>
    </w:p>
    <w:p w:rsidR="00BD10DB" w:rsidRDefault="00BD10DB" w:rsidP="00CF0F82">
      <w:pPr>
        <w:spacing w:after="0" w:line="240" w:lineRule="auto"/>
        <w:jc w:val="both"/>
        <w:rPr>
          <w:color w:val="1F4E79" w:themeColor="accent1" w:themeShade="80"/>
        </w:rPr>
      </w:pPr>
    </w:p>
    <w:p w:rsidR="00BD10DB" w:rsidRDefault="00BD10DB" w:rsidP="00CF0F82">
      <w:pPr>
        <w:spacing w:after="0" w:line="240" w:lineRule="auto"/>
        <w:jc w:val="both"/>
        <w:rPr>
          <w:color w:val="1F4E79" w:themeColor="accent1" w:themeShade="80"/>
        </w:rPr>
      </w:pPr>
      <w:r>
        <w:rPr>
          <w:color w:val="1F4E79" w:themeColor="accent1" w:themeShade="80"/>
        </w:rPr>
        <w:t>Het aantal effectieve mandaten wordt per orgaan volgens de onderstaande tabel vastgesteld. Er zijn steeds evenveel plaatsvervangende mandaten als effectieve.</w:t>
      </w:r>
    </w:p>
    <w:p w:rsidR="00BD10DB" w:rsidRDefault="00BD10DB" w:rsidP="00CF0F82">
      <w:pPr>
        <w:spacing w:after="0" w:line="240" w:lineRule="auto"/>
        <w:jc w:val="both"/>
        <w:rPr>
          <w:color w:val="1F4E79" w:themeColor="accent1" w:themeShade="80"/>
        </w:rPr>
      </w:pPr>
    </w:p>
    <w:tbl>
      <w:tblPr>
        <w:tblStyle w:val="Tabelraste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531"/>
        <w:gridCol w:w="4531"/>
      </w:tblGrid>
      <w:tr w:rsidR="00BD10DB" w:rsidTr="00BD10DB">
        <w:tc>
          <w:tcPr>
            <w:tcW w:w="4531" w:type="dxa"/>
            <w:shd w:val="clear" w:color="auto" w:fill="DEEAF6" w:themeFill="accent1" w:themeFillTint="33"/>
          </w:tcPr>
          <w:p w:rsidR="00BD10DB" w:rsidRDefault="00BD10DB" w:rsidP="00BD10DB">
            <w:pPr>
              <w:jc w:val="center"/>
              <w:rPr>
                <w:color w:val="1F4E79" w:themeColor="accent1" w:themeShade="80"/>
              </w:rPr>
            </w:pPr>
            <w:r>
              <w:rPr>
                <w:color w:val="1F4E79" w:themeColor="accent1" w:themeShade="80"/>
              </w:rPr>
              <w:t>Aantal werknemers</w:t>
            </w:r>
          </w:p>
        </w:tc>
        <w:tc>
          <w:tcPr>
            <w:tcW w:w="4531" w:type="dxa"/>
            <w:shd w:val="clear" w:color="auto" w:fill="DEEAF6" w:themeFill="accent1" w:themeFillTint="33"/>
          </w:tcPr>
          <w:p w:rsidR="00BD10DB" w:rsidRDefault="00BD10DB" w:rsidP="00BD10DB">
            <w:pPr>
              <w:jc w:val="center"/>
              <w:rPr>
                <w:color w:val="1F4E79" w:themeColor="accent1" w:themeShade="80"/>
              </w:rPr>
            </w:pPr>
            <w:r>
              <w:rPr>
                <w:color w:val="1F4E79" w:themeColor="accent1" w:themeShade="80"/>
              </w:rPr>
              <w:t>Aantal mandaten</w:t>
            </w:r>
          </w:p>
        </w:tc>
      </w:tr>
      <w:tr w:rsidR="00BD10DB" w:rsidTr="00BD10DB">
        <w:tc>
          <w:tcPr>
            <w:tcW w:w="4531" w:type="dxa"/>
          </w:tcPr>
          <w:p w:rsidR="00BD10DB" w:rsidRDefault="00BD10DB" w:rsidP="00BD10DB">
            <w:pPr>
              <w:jc w:val="center"/>
              <w:rPr>
                <w:color w:val="1F4E79" w:themeColor="accent1" w:themeShade="80"/>
              </w:rPr>
            </w:pPr>
            <w:r>
              <w:rPr>
                <w:color w:val="1F4E79" w:themeColor="accent1" w:themeShade="80"/>
              </w:rPr>
              <w:t>&lt; 101</w:t>
            </w:r>
          </w:p>
        </w:tc>
        <w:tc>
          <w:tcPr>
            <w:tcW w:w="4531" w:type="dxa"/>
          </w:tcPr>
          <w:p w:rsidR="00BD10DB" w:rsidRDefault="00BD10DB" w:rsidP="00BD10DB">
            <w:pPr>
              <w:jc w:val="center"/>
              <w:rPr>
                <w:color w:val="1F4E79" w:themeColor="accent1" w:themeShade="80"/>
              </w:rPr>
            </w:pPr>
            <w:r>
              <w:rPr>
                <w:color w:val="1F4E79" w:themeColor="accent1" w:themeShade="80"/>
              </w:rPr>
              <w:t>4</w:t>
            </w:r>
          </w:p>
        </w:tc>
      </w:tr>
      <w:tr w:rsidR="00BD10DB" w:rsidTr="00BD10DB">
        <w:tc>
          <w:tcPr>
            <w:tcW w:w="4531" w:type="dxa"/>
          </w:tcPr>
          <w:p w:rsidR="00BD10DB" w:rsidRDefault="00BD10DB" w:rsidP="00BD10DB">
            <w:pPr>
              <w:jc w:val="center"/>
              <w:rPr>
                <w:color w:val="1F4E79" w:themeColor="accent1" w:themeShade="80"/>
              </w:rPr>
            </w:pPr>
            <w:r>
              <w:rPr>
                <w:color w:val="1F4E79" w:themeColor="accent1" w:themeShade="80"/>
              </w:rPr>
              <w:t>101 – 500</w:t>
            </w:r>
          </w:p>
        </w:tc>
        <w:tc>
          <w:tcPr>
            <w:tcW w:w="4531" w:type="dxa"/>
          </w:tcPr>
          <w:p w:rsidR="00BD10DB" w:rsidRDefault="00BD10DB" w:rsidP="00BD10DB">
            <w:pPr>
              <w:jc w:val="center"/>
              <w:rPr>
                <w:color w:val="1F4E79" w:themeColor="accent1" w:themeShade="80"/>
              </w:rPr>
            </w:pPr>
            <w:r>
              <w:rPr>
                <w:color w:val="1F4E79" w:themeColor="accent1" w:themeShade="80"/>
              </w:rPr>
              <w:t>6</w:t>
            </w:r>
          </w:p>
        </w:tc>
      </w:tr>
      <w:tr w:rsidR="00BD10DB" w:rsidTr="00BD10DB">
        <w:tc>
          <w:tcPr>
            <w:tcW w:w="4531" w:type="dxa"/>
          </w:tcPr>
          <w:p w:rsidR="00BD10DB" w:rsidRDefault="00BD10DB" w:rsidP="00BD10DB">
            <w:pPr>
              <w:jc w:val="center"/>
              <w:rPr>
                <w:color w:val="1F4E79" w:themeColor="accent1" w:themeShade="80"/>
              </w:rPr>
            </w:pPr>
            <w:r>
              <w:rPr>
                <w:color w:val="1F4E79" w:themeColor="accent1" w:themeShade="80"/>
              </w:rPr>
              <w:t>501 – 1.000</w:t>
            </w:r>
          </w:p>
        </w:tc>
        <w:tc>
          <w:tcPr>
            <w:tcW w:w="4531" w:type="dxa"/>
          </w:tcPr>
          <w:p w:rsidR="00BD10DB" w:rsidRDefault="00BD10DB" w:rsidP="00BD10DB">
            <w:pPr>
              <w:jc w:val="center"/>
              <w:rPr>
                <w:color w:val="1F4E79" w:themeColor="accent1" w:themeShade="80"/>
              </w:rPr>
            </w:pPr>
            <w:r>
              <w:rPr>
                <w:color w:val="1F4E79" w:themeColor="accent1" w:themeShade="80"/>
              </w:rPr>
              <w:t>8</w:t>
            </w:r>
          </w:p>
        </w:tc>
      </w:tr>
      <w:tr w:rsidR="00BD10DB" w:rsidTr="00BD10DB">
        <w:tc>
          <w:tcPr>
            <w:tcW w:w="4531" w:type="dxa"/>
          </w:tcPr>
          <w:p w:rsidR="00BD10DB" w:rsidRDefault="00BD10DB" w:rsidP="00BD10DB">
            <w:pPr>
              <w:jc w:val="center"/>
              <w:rPr>
                <w:color w:val="1F4E79" w:themeColor="accent1" w:themeShade="80"/>
              </w:rPr>
            </w:pPr>
            <w:r>
              <w:rPr>
                <w:color w:val="1F4E79" w:themeColor="accent1" w:themeShade="80"/>
              </w:rPr>
              <w:t>1.001 – 2.000</w:t>
            </w:r>
          </w:p>
        </w:tc>
        <w:tc>
          <w:tcPr>
            <w:tcW w:w="4531" w:type="dxa"/>
          </w:tcPr>
          <w:p w:rsidR="00BD10DB" w:rsidRDefault="00BD10DB" w:rsidP="00BD10DB">
            <w:pPr>
              <w:jc w:val="center"/>
              <w:rPr>
                <w:color w:val="1F4E79" w:themeColor="accent1" w:themeShade="80"/>
              </w:rPr>
            </w:pPr>
            <w:r>
              <w:rPr>
                <w:color w:val="1F4E79" w:themeColor="accent1" w:themeShade="80"/>
              </w:rPr>
              <w:t>10</w:t>
            </w:r>
          </w:p>
        </w:tc>
      </w:tr>
      <w:tr w:rsidR="00BD10DB" w:rsidTr="00BD10DB">
        <w:tc>
          <w:tcPr>
            <w:tcW w:w="4531" w:type="dxa"/>
          </w:tcPr>
          <w:p w:rsidR="00BD10DB" w:rsidRDefault="00BD10DB" w:rsidP="00BD10DB">
            <w:pPr>
              <w:jc w:val="center"/>
              <w:rPr>
                <w:color w:val="1F4E79" w:themeColor="accent1" w:themeShade="80"/>
              </w:rPr>
            </w:pPr>
            <w:r>
              <w:rPr>
                <w:color w:val="1F4E79" w:themeColor="accent1" w:themeShade="80"/>
              </w:rPr>
              <w:t>2.001 – 3.000</w:t>
            </w:r>
          </w:p>
        </w:tc>
        <w:tc>
          <w:tcPr>
            <w:tcW w:w="4531" w:type="dxa"/>
          </w:tcPr>
          <w:p w:rsidR="00BD10DB" w:rsidRDefault="00BD10DB" w:rsidP="00BD10DB">
            <w:pPr>
              <w:jc w:val="center"/>
              <w:rPr>
                <w:color w:val="1F4E79" w:themeColor="accent1" w:themeShade="80"/>
              </w:rPr>
            </w:pPr>
            <w:r>
              <w:rPr>
                <w:color w:val="1F4E79" w:themeColor="accent1" w:themeShade="80"/>
              </w:rPr>
              <w:t>12</w:t>
            </w:r>
          </w:p>
        </w:tc>
      </w:tr>
      <w:tr w:rsidR="00BD10DB" w:rsidTr="00BD10DB">
        <w:tc>
          <w:tcPr>
            <w:tcW w:w="4531" w:type="dxa"/>
          </w:tcPr>
          <w:p w:rsidR="00BD10DB" w:rsidRDefault="00BD10DB" w:rsidP="00BD10DB">
            <w:pPr>
              <w:jc w:val="center"/>
              <w:rPr>
                <w:color w:val="1F4E79" w:themeColor="accent1" w:themeShade="80"/>
              </w:rPr>
            </w:pPr>
            <w:r>
              <w:rPr>
                <w:color w:val="1F4E79" w:themeColor="accent1" w:themeShade="80"/>
              </w:rPr>
              <w:t>3.001 – 4.000</w:t>
            </w:r>
          </w:p>
        </w:tc>
        <w:tc>
          <w:tcPr>
            <w:tcW w:w="4531" w:type="dxa"/>
          </w:tcPr>
          <w:p w:rsidR="00BD10DB" w:rsidRDefault="00BD10DB" w:rsidP="00BD10DB">
            <w:pPr>
              <w:jc w:val="center"/>
              <w:rPr>
                <w:color w:val="1F4E79" w:themeColor="accent1" w:themeShade="80"/>
              </w:rPr>
            </w:pPr>
            <w:r>
              <w:rPr>
                <w:color w:val="1F4E79" w:themeColor="accent1" w:themeShade="80"/>
              </w:rPr>
              <w:t>14</w:t>
            </w:r>
          </w:p>
        </w:tc>
      </w:tr>
      <w:tr w:rsidR="00BD10DB" w:rsidTr="00BD10DB">
        <w:tc>
          <w:tcPr>
            <w:tcW w:w="4531" w:type="dxa"/>
          </w:tcPr>
          <w:p w:rsidR="00BD10DB" w:rsidRDefault="00BD10DB" w:rsidP="00BD10DB">
            <w:pPr>
              <w:jc w:val="center"/>
              <w:rPr>
                <w:color w:val="1F4E79" w:themeColor="accent1" w:themeShade="80"/>
              </w:rPr>
            </w:pPr>
            <w:r>
              <w:rPr>
                <w:color w:val="1F4E79" w:themeColor="accent1" w:themeShade="80"/>
              </w:rPr>
              <w:t>4.001 – 5.000</w:t>
            </w:r>
          </w:p>
        </w:tc>
        <w:tc>
          <w:tcPr>
            <w:tcW w:w="4531" w:type="dxa"/>
          </w:tcPr>
          <w:p w:rsidR="00BD10DB" w:rsidRDefault="00BD10DB" w:rsidP="00BD10DB">
            <w:pPr>
              <w:jc w:val="center"/>
              <w:rPr>
                <w:color w:val="1F4E79" w:themeColor="accent1" w:themeShade="80"/>
              </w:rPr>
            </w:pPr>
            <w:r>
              <w:rPr>
                <w:color w:val="1F4E79" w:themeColor="accent1" w:themeShade="80"/>
              </w:rPr>
              <w:t>16</w:t>
            </w:r>
          </w:p>
        </w:tc>
      </w:tr>
      <w:tr w:rsidR="00BD10DB" w:rsidTr="00BD10DB">
        <w:tc>
          <w:tcPr>
            <w:tcW w:w="4531" w:type="dxa"/>
          </w:tcPr>
          <w:p w:rsidR="00BD10DB" w:rsidRDefault="00BD10DB" w:rsidP="00BD10DB">
            <w:pPr>
              <w:jc w:val="center"/>
              <w:rPr>
                <w:color w:val="1F4E79" w:themeColor="accent1" w:themeShade="80"/>
              </w:rPr>
            </w:pPr>
            <w:r>
              <w:rPr>
                <w:color w:val="1F4E79" w:themeColor="accent1" w:themeShade="80"/>
              </w:rPr>
              <w:t>5.001 – 6.000</w:t>
            </w:r>
          </w:p>
        </w:tc>
        <w:tc>
          <w:tcPr>
            <w:tcW w:w="4531" w:type="dxa"/>
          </w:tcPr>
          <w:p w:rsidR="00BD10DB" w:rsidRDefault="00BD10DB" w:rsidP="00BD10DB">
            <w:pPr>
              <w:jc w:val="center"/>
              <w:rPr>
                <w:color w:val="1F4E79" w:themeColor="accent1" w:themeShade="80"/>
              </w:rPr>
            </w:pPr>
            <w:r>
              <w:rPr>
                <w:color w:val="1F4E79" w:themeColor="accent1" w:themeShade="80"/>
              </w:rPr>
              <w:t>18</w:t>
            </w:r>
          </w:p>
        </w:tc>
      </w:tr>
      <w:tr w:rsidR="00BD10DB" w:rsidTr="00BD10DB">
        <w:tc>
          <w:tcPr>
            <w:tcW w:w="4531" w:type="dxa"/>
          </w:tcPr>
          <w:p w:rsidR="00BD10DB" w:rsidRDefault="00BD10DB" w:rsidP="00BD10DB">
            <w:pPr>
              <w:jc w:val="center"/>
              <w:rPr>
                <w:color w:val="1F4E79" w:themeColor="accent1" w:themeShade="80"/>
              </w:rPr>
            </w:pPr>
            <w:r>
              <w:rPr>
                <w:color w:val="1F4E79" w:themeColor="accent1" w:themeShade="80"/>
              </w:rPr>
              <w:t>6.001 – 8.000</w:t>
            </w:r>
          </w:p>
        </w:tc>
        <w:tc>
          <w:tcPr>
            <w:tcW w:w="4531" w:type="dxa"/>
          </w:tcPr>
          <w:p w:rsidR="00BD10DB" w:rsidRDefault="00BD10DB" w:rsidP="00BD10DB">
            <w:pPr>
              <w:jc w:val="center"/>
              <w:rPr>
                <w:color w:val="1F4E79" w:themeColor="accent1" w:themeShade="80"/>
              </w:rPr>
            </w:pPr>
            <w:r>
              <w:rPr>
                <w:color w:val="1F4E79" w:themeColor="accent1" w:themeShade="80"/>
              </w:rPr>
              <w:t>20</w:t>
            </w:r>
          </w:p>
        </w:tc>
      </w:tr>
      <w:tr w:rsidR="00BD10DB" w:rsidTr="00BD10DB">
        <w:tc>
          <w:tcPr>
            <w:tcW w:w="4531" w:type="dxa"/>
          </w:tcPr>
          <w:p w:rsidR="00BD10DB" w:rsidRDefault="00BD10DB" w:rsidP="00BD10DB">
            <w:pPr>
              <w:jc w:val="center"/>
              <w:rPr>
                <w:color w:val="1F4E79" w:themeColor="accent1" w:themeShade="80"/>
              </w:rPr>
            </w:pPr>
            <w:r>
              <w:rPr>
                <w:color w:val="1F4E79" w:themeColor="accent1" w:themeShade="80"/>
              </w:rPr>
              <w:t>&gt; 8.000</w:t>
            </w:r>
          </w:p>
        </w:tc>
        <w:tc>
          <w:tcPr>
            <w:tcW w:w="4531" w:type="dxa"/>
          </w:tcPr>
          <w:p w:rsidR="00BD10DB" w:rsidRDefault="00BD10DB" w:rsidP="00BD10DB">
            <w:pPr>
              <w:jc w:val="center"/>
              <w:rPr>
                <w:color w:val="1F4E79" w:themeColor="accent1" w:themeShade="80"/>
              </w:rPr>
            </w:pPr>
            <w:r>
              <w:rPr>
                <w:color w:val="1F4E79" w:themeColor="accent1" w:themeShade="80"/>
              </w:rPr>
              <w:t>22</w:t>
            </w:r>
          </w:p>
        </w:tc>
      </w:tr>
    </w:tbl>
    <w:p w:rsidR="00877272" w:rsidRDefault="00877272" w:rsidP="00CF0F82">
      <w:pPr>
        <w:spacing w:after="0" w:line="240" w:lineRule="auto"/>
        <w:jc w:val="both"/>
        <w:rPr>
          <w:color w:val="1F4E79" w:themeColor="accent1" w:themeShade="80"/>
        </w:rPr>
      </w:pPr>
      <w:bookmarkStart w:id="0" w:name="_GoBack"/>
      <w:bookmarkEnd w:id="0"/>
    </w:p>
    <w:p w:rsidR="00877272" w:rsidRDefault="00BD10DB" w:rsidP="00CF0F82">
      <w:pPr>
        <w:spacing w:after="0" w:line="240" w:lineRule="auto"/>
        <w:jc w:val="both"/>
        <w:rPr>
          <w:color w:val="1F4E79" w:themeColor="accent1" w:themeShade="80"/>
        </w:rPr>
      </w:pPr>
      <w:r>
        <w:rPr>
          <w:color w:val="1F4E79" w:themeColor="accent1" w:themeShade="80"/>
        </w:rPr>
        <w:t xml:space="preserve">Vervolgens moeten deze mandaten verdeeld worden over de verschillende personeelscategorieën (arbeiders,  bedienden, jeugdige werknemers en eventueel kaderleden). </w:t>
      </w:r>
    </w:p>
    <w:p w:rsidR="00BD10DB" w:rsidRDefault="00BD10DB" w:rsidP="00CF0F82">
      <w:pPr>
        <w:spacing w:after="0" w:line="240" w:lineRule="auto"/>
        <w:jc w:val="both"/>
        <w:rPr>
          <w:color w:val="1F4E79" w:themeColor="accent1" w:themeShade="80"/>
        </w:rPr>
      </w:pPr>
    </w:p>
    <w:p w:rsidR="00BD10DB" w:rsidRDefault="00BD10DB" w:rsidP="00CF0F82">
      <w:pPr>
        <w:spacing w:after="0" w:line="240" w:lineRule="auto"/>
        <w:jc w:val="both"/>
        <w:rPr>
          <w:color w:val="1F4E79" w:themeColor="accent1" w:themeShade="80"/>
        </w:rPr>
      </w:pPr>
      <w:r>
        <w:rPr>
          <w:color w:val="1F4E79" w:themeColor="accent1" w:themeShade="80"/>
        </w:rPr>
        <w:t xml:space="preserve">De mandaten worden toegekend in verhouding tot het aantal werknemers dat elke categorie telt op dag X. De jeugdige werknemers hebben echter automatisch recht op één of meer mandaten. </w:t>
      </w:r>
    </w:p>
    <w:p w:rsidR="00BD10DB" w:rsidRDefault="00BD10DB" w:rsidP="00CF0F82">
      <w:pPr>
        <w:spacing w:after="0" w:line="240" w:lineRule="auto"/>
        <w:jc w:val="both"/>
        <w:rPr>
          <w:color w:val="1F4E79" w:themeColor="accent1" w:themeShade="80"/>
        </w:rPr>
      </w:pPr>
    </w:p>
    <w:p w:rsidR="00BD10DB" w:rsidRDefault="00BD10DB" w:rsidP="00CF0F82">
      <w:pPr>
        <w:spacing w:after="0" w:line="240" w:lineRule="auto"/>
        <w:jc w:val="both"/>
        <w:rPr>
          <w:color w:val="1F4E79" w:themeColor="accent1" w:themeShade="80"/>
        </w:rPr>
      </w:pPr>
      <w:r>
        <w:rPr>
          <w:color w:val="1F4E79" w:themeColor="accent1" w:themeShade="80"/>
        </w:rPr>
        <w:t>De berekening van de verdeling</w:t>
      </w:r>
      <w:r w:rsidR="00387929">
        <w:rPr>
          <w:color w:val="1F4E79" w:themeColor="accent1" w:themeShade="80"/>
        </w:rPr>
        <w:t xml:space="preserve"> van de mandaten</w:t>
      </w:r>
      <w:r>
        <w:rPr>
          <w:color w:val="1F4E79" w:themeColor="accent1" w:themeShade="80"/>
        </w:rPr>
        <w:t xml:space="preserve"> is een ingewikkelde kwestie. Zonder in detail te treden, vindt u hierna een voorbeeld d</w:t>
      </w:r>
      <w:r w:rsidR="00387929">
        <w:rPr>
          <w:color w:val="1F4E79" w:themeColor="accent1" w:themeShade="80"/>
        </w:rPr>
        <w:t>at</w:t>
      </w:r>
      <w:r>
        <w:rPr>
          <w:color w:val="1F4E79" w:themeColor="accent1" w:themeShade="80"/>
        </w:rPr>
        <w:t xml:space="preserve"> u een beeld kan geven hoe de mandaten verdeeld kunnen worden. </w:t>
      </w:r>
    </w:p>
    <w:p w:rsidR="00387929" w:rsidRDefault="00387929" w:rsidP="00CF0F82">
      <w:pPr>
        <w:spacing w:after="0" w:line="240" w:lineRule="auto"/>
        <w:jc w:val="both"/>
        <w:rPr>
          <w:color w:val="1F4E79" w:themeColor="accent1" w:themeShade="80"/>
        </w:rPr>
      </w:pPr>
    </w:p>
    <w:p w:rsidR="002A42A8" w:rsidRDefault="00387929" w:rsidP="00CF0F82">
      <w:pPr>
        <w:spacing w:after="0" w:line="240" w:lineRule="auto"/>
        <w:jc w:val="both"/>
        <w:rPr>
          <w:color w:val="1F4E79" w:themeColor="accent1" w:themeShade="80"/>
        </w:rPr>
      </w:pPr>
      <w:r>
        <w:rPr>
          <w:color w:val="1F4E79" w:themeColor="accent1" w:themeShade="80"/>
        </w:rPr>
        <w:t xml:space="preserve">Voorbeeld: een onderneming met </w:t>
      </w:r>
      <w:r w:rsidR="003C2D66">
        <w:rPr>
          <w:color w:val="1F4E79" w:themeColor="accent1" w:themeShade="80"/>
        </w:rPr>
        <w:t xml:space="preserve">300 werknemers </w:t>
      </w:r>
      <w:r w:rsidR="002A42A8">
        <w:rPr>
          <w:color w:val="1F4E79" w:themeColor="accent1" w:themeShade="80"/>
        </w:rPr>
        <w:t xml:space="preserve">op dag X: </w:t>
      </w:r>
    </w:p>
    <w:p w:rsidR="002A42A8" w:rsidRDefault="002A42A8" w:rsidP="00CF0F82">
      <w:pPr>
        <w:spacing w:after="0" w:line="240" w:lineRule="auto"/>
        <w:jc w:val="both"/>
        <w:rPr>
          <w:color w:val="1F4E79" w:themeColor="accent1" w:themeShade="80"/>
        </w:rPr>
      </w:pPr>
      <w:r>
        <w:rPr>
          <w:color w:val="1F4E79" w:themeColor="accent1" w:themeShade="80"/>
        </w:rPr>
        <w:t xml:space="preserve">30 jeugdige werknemers (- 25 jaar) </w:t>
      </w:r>
    </w:p>
    <w:p w:rsidR="00387929" w:rsidRDefault="002A42A8" w:rsidP="00CF0F82">
      <w:pPr>
        <w:spacing w:after="0" w:line="240" w:lineRule="auto"/>
        <w:jc w:val="both"/>
        <w:rPr>
          <w:color w:val="1F4E79" w:themeColor="accent1" w:themeShade="80"/>
        </w:rPr>
      </w:pPr>
      <w:r>
        <w:rPr>
          <w:color w:val="1F4E79" w:themeColor="accent1" w:themeShade="80"/>
        </w:rPr>
        <w:t>200 arbeiders</w:t>
      </w:r>
    </w:p>
    <w:p w:rsidR="002A42A8" w:rsidRDefault="002A42A8" w:rsidP="00CF0F82">
      <w:pPr>
        <w:spacing w:after="0" w:line="240" w:lineRule="auto"/>
        <w:jc w:val="both"/>
        <w:rPr>
          <w:color w:val="1F4E79" w:themeColor="accent1" w:themeShade="80"/>
        </w:rPr>
      </w:pPr>
      <w:r>
        <w:rPr>
          <w:color w:val="1F4E79" w:themeColor="accent1" w:themeShade="80"/>
        </w:rPr>
        <w:t>50 bedienden</w:t>
      </w:r>
    </w:p>
    <w:p w:rsidR="002A42A8" w:rsidRDefault="002A42A8" w:rsidP="00CF0F82">
      <w:pPr>
        <w:spacing w:after="0" w:line="240" w:lineRule="auto"/>
        <w:jc w:val="both"/>
        <w:rPr>
          <w:color w:val="1F4E79" w:themeColor="accent1" w:themeShade="80"/>
        </w:rPr>
      </w:pPr>
      <w:r>
        <w:rPr>
          <w:color w:val="1F4E79" w:themeColor="accent1" w:themeShade="80"/>
        </w:rPr>
        <w:t>14 kaderleden</w:t>
      </w:r>
    </w:p>
    <w:p w:rsidR="002A42A8" w:rsidRDefault="002A42A8" w:rsidP="00CF0F82">
      <w:pPr>
        <w:spacing w:after="0" w:line="240" w:lineRule="auto"/>
        <w:jc w:val="both"/>
        <w:rPr>
          <w:color w:val="1F4E79" w:themeColor="accent1" w:themeShade="80"/>
        </w:rPr>
      </w:pPr>
      <w:r>
        <w:rPr>
          <w:color w:val="1F4E79" w:themeColor="accent1" w:themeShade="80"/>
        </w:rPr>
        <w:t>6 leden leidinggevend personeel.</w:t>
      </w:r>
    </w:p>
    <w:p w:rsidR="002A42A8" w:rsidRDefault="002A42A8" w:rsidP="00CF0F82">
      <w:pPr>
        <w:spacing w:after="0" w:line="240" w:lineRule="auto"/>
        <w:jc w:val="both"/>
        <w:rPr>
          <w:color w:val="1F4E79" w:themeColor="accent1" w:themeShade="80"/>
        </w:rPr>
      </w:pPr>
    </w:p>
    <w:p w:rsidR="002A42A8" w:rsidRDefault="002A42A8" w:rsidP="00CF0F82">
      <w:pPr>
        <w:spacing w:after="0" w:line="240" w:lineRule="auto"/>
        <w:jc w:val="both"/>
        <w:rPr>
          <w:color w:val="1F4E79" w:themeColor="accent1" w:themeShade="80"/>
        </w:rPr>
      </w:pPr>
      <w:r>
        <w:rPr>
          <w:color w:val="1F4E79" w:themeColor="accent1" w:themeShade="80"/>
        </w:rPr>
        <w:t>Totaal aantal te begeven mandaten: 6</w:t>
      </w:r>
    </w:p>
    <w:p w:rsidR="002A42A8" w:rsidRDefault="002A42A8" w:rsidP="00CF0F82">
      <w:pPr>
        <w:spacing w:after="0" w:line="240" w:lineRule="auto"/>
        <w:jc w:val="both"/>
        <w:rPr>
          <w:color w:val="1F4E79" w:themeColor="accent1" w:themeShade="80"/>
        </w:rPr>
      </w:pPr>
    </w:p>
    <w:p w:rsidR="002A42A8" w:rsidRDefault="002A42A8" w:rsidP="00CF0F82">
      <w:pPr>
        <w:spacing w:after="0" w:line="240" w:lineRule="auto"/>
        <w:jc w:val="both"/>
        <w:rPr>
          <w:color w:val="1F4E79" w:themeColor="accent1" w:themeShade="80"/>
        </w:rPr>
      </w:pPr>
      <w:r>
        <w:rPr>
          <w:color w:val="1F4E79" w:themeColor="accent1" w:themeShade="80"/>
        </w:rPr>
        <w:sym w:font="Wingdings 3" w:char="F084"/>
      </w:r>
      <w:r>
        <w:rPr>
          <w:color w:val="1F4E79" w:themeColor="accent1" w:themeShade="80"/>
        </w:rPr>
        <w:t xml:space="preserve"> de jeugdige werknemers krijgen automatisch 1 mandaat</w:t>
      </w:r>
    </w:p>
    <w:p w:rsidR="002A42A8" w:rsidRDefault="002A42A8" w:rsidP="00CF0F82">
      <w:pPr>
        <w:spacing w:after="0" w:line="240" w:lineRule="auto"/>
        <w:jc w:val="both"/>
        <w:rPr>
          <w:color w:val="1F4E79" w:themeColor="accent1" w:themeShade="80"/>
        </w:rPr>
      </w:pPr>
      <w:r>
        <w:rPr>
          <w:color w:val="1F4E79" w:themeColor="accent1" w:themeShade="80"/>
        </w:rPr>
        <w:sym w:font="Wingdings 3" w:char="F084"/>
      </w:r>
      <w:r>
        <w:rPr>
          <w:color w:val="1F4E79" w:themeColor="accent1" w:themeShade="80"/>
        </w:rPr>
        <w:t xml:space="preserve"> de overige 5 mandaten zullen verdeeld worden over de arbeiders en de bedienden</w:t>
      </w:r>
    </w:p>
    <w:p w:rsidR="002A42A8" w:rsidRDefault="002A42A8" w:rsidP="00CF0F82">
      <w:pPr>
        <w:spacing w:after="0" w:line="240" w:lineRule="auto"/>
        <w:jc w:val="both"/>
        <w:rPr>
          <w:color w:val="1F4E79" w:themeColor="accent1" w:themeShade="80"/>
        </w:rPr>
      </w:pPr>
      <w:r>
        <w:rPr>
          <w:color w:val="1F4E79" w:themeColor="accent1" w:themeShade="80"/>
        </w:rPr>
        <w:sym w:font="Wingdings 3" w:char="F084"/>
      </w:r>
      <w:r>
        <w:rPr>
          <w:color w:val="1F4E79" w:themeColor="accent1" w:themeShade="80"/>
        </w:rPr>
        <w:t xml:space="preserve"> de kaderleden hebben geen aparte vertegenwoordiging. Hiervoor moeten er immers minstens 15 kaderleden zijn.</w:t>
      </w:r>
    </w:p>
    <w:p w:rsidR="002A42A8" w:rsidRDefault="002A42A8" w:rsidP="00CF0F82">
      <w:pPr>
        <w:spacing w:after="0" w:line="240" w:lineRule="auto"/>
        <w:jc w:val="both"/>
        <w:rPr>
          <w:color w:val="1F4E79" w:themeColor="accent1" w:themeShade="80"/>
        </w:rPr>
      </w:pPr>
    </w:p>
    <w:p w:rsidR="002A42A8" w:rsidRPr="002A42A8" w:rsidRDefault="002A42A8" w:rsidP="00CF0F82">
      <w:pPr>
        <w:spacing w:after="0" w:line="240" w:lineRule="auto"/>
        <w:jc w:val="both"/>
        <w:rPr>
          <w:i/>
          <w:color w:val="1F4E79" w:themeColor="accent1" w:themeShade="80"/>
        </w:rPr>
      </w:pPr>
      <w:r w:rsidRPr="002A42A8">
        <w:rPr>
          <w:i/>
          <w:color w:val="1F4E79" w:themeColor="accent1" w:themeShade="80"/>
        </w:rPr>
        <w:t>Arbeiders:</w:t>
      </w:r>
    </w:p>
    <w:p w:rsidR="002A42A8" w:rsidRDefault="002A42A8" w:rsidP="00CF0F82">
      <w:pPr>
        <w:spacing w:after="0" w:line="240" w:lineRule="auto"/>
        <w:jc w:val="both"/>
        <w:rPr>
          <w:color w:val="1F4E79" w:themeColor="accent1" w:themeShade="80"/>
        </w:rPr>
      </w:pPr>
    </w:p>
    <w:p w:rsidR="002A42A8" w:rsidRDefault="002A42A8" w:rsidP="00CF0F82">
      <w:pPr>
        <w:spacing w:after="0" w:line="240" w:lineRule="auto"/>
        <w:jc w:val="both"/>
        <w:rPr>
          <w:color w:val="1F4E79" w:themeColor="accent1" w:themeShade="80"/>
        </w:rPr>
      </w:pPr>
      <w:r w:rsidRPr="002A42A8">
        <w:rPr>
          <w:color w:val="1F4E79" w:themeColor="accent1" w:themeShade="80"/>
          <w:u w:val="single"/>
        </w:rPr>
        <w:t>aantal arbeiders x aantal mandaten (uitgezonderd jongerenmandaat)</w:t>
      </w:r>
      <w:r>
        <w:rPr>
          <w:color w:val="1F4E79" w:themeColor="accent1" w:themeShade="80"/>
        </w:rPr>
        <w:t xml:space="preserve"> = </w:t>
      </w:r>
      <w:r w:rsidRPr="002A42A8">
        <w:rPr>
          <w:color w:val="1F4E79" w:themeColor="accent1" w:themeShade="80"/>
          <w:u w:val="single"/>
        </w:rPr>
        <w:t>200 x 5</w:t>
      </w:r>
      <w:r>
        <w:rPr>
          <w:color w:val="1F4E79" w:themeColor="accent1" w:themeShade="80"/>
        </w:rPr>
        <w:t xml:space="preserve"> = 3,7 </w:t>
      </w:r>
    </w:p>
    <w:p w:rsidR="002A42A8" w:rsidRDefault="002A42A8" w:rsidP="002A42A8">
      <w:pPr>
        <w:spacing w:after="0" w:line="240" w:lineRule="auto"/>
        <w:rPr>
          <w:color w:val="1F4E79" w:themeColor="accent1" w:themeShade="80"/>
        </w:rPr>
      </w:pPr>
      <w:r>
        <w:rPr>
          <w:color w:val="1F4E79" w:themeColor="accent1" w:themeShade="80"/>
        </w:rPr>
        <w:tab/>
      </w:r>
      <w:r>
        <w:rPr>
          <w:color w:val="1F4E79" w:themeColor="accent1" w:themeShade="80"/>
        </w:rPr>
        <w:tab/>
        <w:t>totaal personeel (uitgezonderd jongeren)</w:t>
      </w:r>
      <w:r>
        <w:rPr>
          <w:color w:val="1F4E79" w:themeColor="accent1" w:themeShade="80"/>
        </w:rPr>
        <w:tab/>
      </w:r>
      <w:r>
        <w:rPr>
          <w:color w:val="1F4E79" w:themeColor="accent1" w:themeShade="80"/>
        </w:rPr>
        <w:tab/>
      </w:r>
      <w:r>
        <w:rPr>
          <w:color w:val="1F4E79" w:themeColor="accent1" w:themeShade="80"/>
        </w:rPr>
        <w:tab/>
        <w:t xml:space="preserve">  270</w:t>
      </w:r>
    </w:p>
    <w:p w:rsidR="002A42A8" w:rsidRDefault="002A42A8" w:rsidP="002A42A8">
      <w:pPr>
        <w:spacing w:after="0" w:line="240" w:lineRule="auto"/>
        <w:rPr>
          <w:color w:val="1F4E79" w:themeColor="accent1" w:themeShade="80"/>
        </w:rPr>
      </w:pPr>
    </w:p>
    <w:p w:rsidR="002A42A8" w:rsidRPr="002A42A8" w:rsidRDefault="002A42A8" w:rsidP="002A42A8">
      <w:pPr>
        <w:spacing w:after="0" w:line="240" w:lineRule="auto"/>
        <w:rPr>
          <w:i/>
          <w:color w:val="1F4E79" w:themeColor="accent1" w:themeShade="80"/>
        </w:rPr>
      </w:pPr>
      <w:r w:rsidRPr="002A42A8">
        <w:rPr>
          <w:i/>
          <w:color w:val="1F4E79" w:themeColor="accent1" w:themeShade="80"/>
        </w:rPr>
        <w:t>Bedienden:</w:t>
      </w:r>
    </w:p>
    <w:p w:rsidR="002A42A8" w:rsidRDefault="002A42A8" w:rsidP="002A42A8">
      <w:pPr>
        <w:spacing w:after="0" w:line="240" w:lineRule="auto"/>
        <w:rPr>
          <w:color w:val="1F4E79" w:themeColor="accent1" w:themeShade="80"/>
        </w:rPr>
      </w:pPr>
    </w:p>
    <w:p w:rsidR="002A42A8" w:rsidRDefault="002A42A8" w:rsidP="002A42A8">
      <w:pPr>
        <w:spacing w:after="0" w:line="240" w:lineRule="auto"/>
        <w:jc w:val="both"/>
        <w:rPr>
          <w:color w:val="1F4E79" w:themeColor="accent1" w:themeShade="80"/>
        </w:rPr>
      </w:pPr>
      <w:r w:rsidRPr="002A42A8">
        <w:rPr>
          <w:color w:val="1F4E79" w:themeColor="accent1" w:themeShade="80"/>
          <w:u w:val="single"/>
        </w:rPr>
        <w:t xml:space="preserve">aantal </w:t>
      </w:r>
      <w:r>
        <w:rPr>
          <w:color w:val="1F4E79" w:themeColor="accent1" w:themeShade="80"/>
          <w:u w:val="single"/>
        </w:rPr>
        <w:t>bed, kader en leidingg</w:t>
      </w:r>
      <w:r w:rsidRPr="002A42A8">
        <w:rPr>
          <w:color w:val="1F4E79" w:themeColor="accent1" w:themeShade="80"/>
          <w:u w:val="single"/>
        </w:rPr>
        <w:t xml:space="preserve"> x aantal mandaten (uit</w:t>
      </w:r>
      <w:r>
        <w:rPr>
          <w:color w:val="1F4E79" w:themeColor="accent1" w:themeShade="80"/>
          <w:u w:val="single"/>
        </w:rPr>
        <w:t>z.</w:t>
      </w:r>
      <w:r w:rsidRPr="002A42A8">
        <w:rPr>
          <w:color w:val="1F4E79" w:themeColor="accent1" w:themeShade="80"/>
          <w:u w:val="single"/>
        </w:rPr>
        <w:t xml:space="preserve"> jongerenmandaat)</w:t>
      </w:r>
      <w:r>
        <w:rPr>
          <w:color w:val="1F4E79" w:themeColor="accent1" w:themeShade="80"/>
        </w:rPr>
        <w:t xml:space="preserve"> = </w:t>
      </w:r>
      <w:r w:rsidRPr="002A42A8">
        <w:rPr>
          <w:color w:val="1F4E79" w:themeColor="accent1" w:themeShade="80"/>
          <w:u w:val="single"/>
        </w:rPr>
        <w:t>70 x 5</w:t>
      </w:r>
      <w:r>
        <w:rPr>
          <w:color w:val="1F4E79" w:themeColor="accent1" w:themeShade="80"/>
        </w:rPr>
        <w:t xml:space="preserve"> = 1,2</w:t>
      </w:r>
    </w:p>
    <w:p w:rsidR="002A42A8" w:rsidRDefault="002A42A8" w:rsidP="002A42A8">
      <w:pPr>
        <w:spacing w:after="0" w:line="240" w:lineRule="auto"/>
        <w:jc w:val="both"/>
        <w:rPr>
          <w:color w:val="1F4E79" w:themeColor="accent1" w:themeShade="80"/>
        </w:rPr>
      </w:pPr>
      <w:r>
        <w:rPr>
          <w:color w:val="1F4E79" w:themeColor="accent1" w:themeShade="80"/>
        </w:rPr>
        <w:tab/>
      </w:r>
      <w:r>
        <w:rPr>
          <w:color w:val="1F4E79" w:themeColor="accent1" w:themeShade="80"/>
        </w:rPr>
        <w:tab/>
        <w:t>totaal</w:t>
      </w:r>
      <w:r w:rsidR="003C2D66">
        <w:rPr>
          <w:color w:val="1F4E79" w:themeColor="accent1" w:themeShade="80"/>
        </w:rPr>
        <w:t xml:space="preserve"> personeel (uitz. jongeren)</w:t>
      </w:r>
      <w:r w:rsidR="003C2D66">
        <w:rPr>
          <w:color w:val="1F4E79" w:themeColor="accent1" w:themeShade="80"/>
        </w:rPr>
        <w:tab/>
      </w:r>
      <w:r w:rsidR="003C2D66">
        <w:rPr>
          <w:color w:val="1F4E79" w:themeColor="accent1" w:themeShade="80"/>
        </w:rPr>
        <w:tab/>
      </w:r>
      <w:r w:rsidR="003C2D66">
        <w:rPr>
          <w:color w:val="1F4E79" w:themeColor="accent1" w:themeShade="80"/>
        </w:rPr>
        <w:tab/>
      </w:r>
      <w:r w:rsidR="003C2D66">
        <w:rPr>
          <w:color w:val="1F4E79" w:themeColor="accent1" w:themeShade="80"/>
        </w:rPr>
        <w:tab/>
        <w:t xml:space="preserve">       270</w:t>
      </w:r>
    </w:p>
    <w:p w:rsidR="002A42A8" w:rsidRDefault="002A42A8" w:rsidP="002A42A8">
      <w:pPr>
        <w:spacing w:after="0" w:line="240" w:lineRule="auto"/>
        <w:jc w:val="both"/>
        <w:rPr>
          <w:color w:val="1F4E79" w:themeColor="accent1" w:themeShade="80"/>
        </w:rPr>
      </w:pPr>
    </w:p>
    <w:p w:rsidR="002A42A8" w:rsidRDefault="002A42A8" w:rsidP="002A42A8">
      <w:pPr>
        <w:spacing w:after="0" w:line="240" w:lineRule="auto"/>
        <w:jc w:val="both"/>
        <w:rPr>
          <w:color w:val="1F4E79" w:themeColor="accent1" w:themeShade="80"/>
        </w:rPr>
      </w:pPr>
    </w:p>
    <w:p w:rsidR="003C2D66" w:rsidRDefault="003C2D66" w:rsidP="002A42A8">
      <w:pPr>
        <w:spacing w:after="0" w:line="240" w:lineRule="auto"/>
        <w:jc w:val="both"/>
        <w:rPr>
          <w:color w:val="1F4E79" w:themeColor="accent1" w:themeShade="80"/>
        </w:rPr>
      </w:pPr>
      <w:r>
        <w:rPr>
          <w:color w:val="1F4E79" w:themeColor="accent1" w:themeShade="80"/>
        </w:rPr>
        <w:sym w:font="Wingdings 3" w:char="F084"/>
      </w:r>
      <w:r>
        <w:rPr>
          <w:color w:val="1F4E79" w:themeColor="accent1" w:themeShade="80"/>
        </w:rPr>
        <w:t xml:space="preserve"> 4 mandaten worden rechtstreeks toegekend (3 arbeiders en 1 bedienden). </w:t>
      </w:r>
    </w:p>
    <w:p w:rsidR="002A42A8" w:rsidRDefault="003C2D66" w:rsidP="002A42A8">
      <w:pPr>
        <w:spacing w:after="0" w:line="240" w:lineRule="auto"/>
        <w:jc w:val="both"/>
        <w:rPr>
          <w:color w:val="1F4E79" w:themeColor="accent1" w:themeShade="80"/>
        </w:rPr>
      </w:pPr>
      <w:r>
        <w:rPr>
          <w:color w:val="1F4E79" w:themeColor="accent1" w:themeShade="80"/>
        </w:rPr>
        <w:sym w:font="Wingdings 3" w:char="F084"/>
      </w:r>
      <w:r>
        <w:rPr>
          <w:color w:val="1F4E79" w:themeColor="accent1" w:themeShade="80"/>
        </w:rPr>
        <w:t xml:space="preserve"> het overblijvende mandaat gaat naar de arbeiders, omdat zij de hoogste decimaal hebben behaald en de bedienden al een mandaat hebben</w:t>
      </w:r>
    </w:p>
    <w:p w:rsidR="003C2D66" w:rsidRDefault="003C2D66" w:rsidP="002A42A8">
      <w:pPr>
        <w:spacing w:after="0" w:line="240" w:lineRule="auto"/>
        <w:jc w:val="both"/>
        <w:rPr>
          <w:color w:val="1F4E79" w:themeColor="accent1" w:themeShade="80"/>
        </w:rPr>
      </w:pPr>
    </w:p>
    <w:p w:rsidR="003C2D66" w:rsidRDefault="003C2D66" w:rsidP="002A42A8">
      <w:pPr>
        <w:spacing w:after="0" w:line="240" w:lineRule="auto"/>
        <w:jc w:val="both"/>
        <w:rPr>
          <w:color w:val="1F4E79" w:themeColor="accent1" w:themeShade="80"/>
        </w:rPr>
      </w:pPr>
      <w:r>
        <w:rPr>
          <w:color w:val="1F4E79" w:themeColor="accent1" w:themeShade="80"/>
        </w:rPr>
        <w:t xml:space="preserve">Dus: </w:t>
      </w:r>
      <w:r>
        <w:rPr>
          <w:color w:val="1F4E79" w:themeColor="accent1" w:themeShade="80"/>
        </w:rPr>
        <w:tab/>
        <w:t>jeugdige werknemers: 1</w:t>
      </w:r>
    </w:p>
    <w:p w:rsidR="003C2D66" w:rsidRDefault="003C2D66" w:rsidP="002A42A8">
      <w:pPr>
        <w:spacing w:after="0" w:line="240" w:lineRule="auto"/>
        <w:jc w:val="both"/>
        <w:rPr>
          <w:color w:val="1F4E79" w:themeColor="accent1" w:themeShade="80"/>
        </w:rPr>
      </w:pPr>
      <w:r>
        <w:rPr>
          <w:color w:val="1F4E79" w:themeColor="accent1" w:themeShade="80"/>
        </w:rPr>
        <w:tab/>
        <w:t>arbeiders: 4</w:t>
      </w:r>
    </w:p>
    <w:p w:rsidR="003C2D66" w:rsidRDefault="003C2D66" w:rsidP="002A42A8">
      <w:pPr>
        <w:spacing w:after="0" w:line="240" w:lineRule="auto"/>
        <w:jc w:val="both"/>
        <w:rPr>
          <w:color w:val="1F4E79" w:themeColor="accent1" w:themeShade="80"/>
        </w:rPr>
      </w:pPr>
      <w:r>
        <w:rPr>
          <w:color w:val="1F4E79" w:themeColor="accent1" w:themeShade="80"/>
        </w:rPr>
        <w:tab/>
        <w:t>bedienden: 1</w:t>
      </w:r>
    </w:p>
    <w:sectPr w:rsidR="003C2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5pt;height:174.75pt" o:bullet="t">
        <v:imagedata r:id="rId1" o:title="opsomming SS"/>
      </v:shape>
    </w:pict>
  </w:numPicBullet>
  <w:abstractNum w:abstractNumId="0" w15:restartNumberingAfterBreak="0">
    <w:nsid w:val="03F045FE"/>
    <w:multiLevelType w:val="hybridMultilevel"/>
    <w:tmpl w:val="E4726D1A"/>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4E8D2F68"/>
    <w:multiLevelType w:val="hybridMultilevel"/>
    <w:tmpl w:val="D802813E"/>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4F4B440E"/>
    <w:multiLevelType w:val="hybridMultilevel"/>
    <w:tmpl w:val="2030190C"/>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F7"/>
    <w:rsid w:val="00070954"/>
    <w:rsid w:val="002A42A8"/>
    <w:rsid w:val="002A51B1"/>
    <w:rsid w:val="00387929"/>
    <w:rsid w:val="003C2D66"/>
    <w:rsid w:val="00445105"/>
    <w:rsid w:val="0058224C"/>
    <w:rsid w:val="00590340"/>
    <w:rsid w:val="005A1A2F"/>
    <w:rsid w:val="005C1E8C"/>
    <w:rsid w:val="00611AFB"/>
    <w:rsid w:val="007061E6"/>
    <w:rsid w:val="007B6370"/>
    <w:rsid w:val="007F04F4"/>
    <w:rsid w:val="00877272"/>
    <w:rsid w:val="008926FB"/>
    <w:rsid w:val="00967CE5"/>
    <w:rsid w:val="00A559C2"/>
    <w:rsid w:val="00B917E6"/>
    <w:rsid w:val="00BD10DB"/>
    <w:rsid w:val="00BE1626"/>
    <w:rsid w:val="00BF70F7"/>
    <w:rsid w:val="00CB64DB"/>
    <w:rsid w:val="00CF0F82"/>
    <w:rsid w:val="00D44D42"/>
    <w:rsid w:val="00D45BCD"/>
    <w:rsid w:val="00FD7B7B"/>
    <w:rsid w:val="00FF36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68E87D9-8CC0-445A-BB93-6C9A504B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LT Std 45 Book" w:eastAsiaTheme="minorHAnsi" w:hAnsi="Avenir LT Std 45 Book"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LBGroup">
    <w:name w:val="CLB Group"/>
    <w:basedOn w:val="Standaard"/>
    <w:link w:val="CLBGroupChar"/>
    <w:qFormat/>
    <w:rsid w:val="005A1A2F"/>
    <w:rPr>
      <w:color w:val="073288"/>
    </w:rPr>
  </w:style>
  <w:style w:type="character" w:customStyle="1" w:styleId="CLBGroupChar">
    <w:name w:val="CLB Group Char"/>
    <w:basedOn w:val="Standaardalinea-lettertype"/>
    <w:link w:val="CLBGroup"/>
    <w:rsid w:val="005A1A2F"/>
    <w:rPr>
      <w:rFonts w:ascii="Avenir LT Std 45 Book" w:hAnsi="Avenir LT Std 45 Book"/>
      <w:color w:val="073288"/>
    </w:rPr>
  </w:style>
  <w:style w:type="paragraph" w:customStyle="1" w:styleId="CLBSS">
    <w:name w:val="CLB SS"/>
    <w:basedOn w:val="CLBGroup"/>
    <w:link w:val="CLBSSChar"/>
    <w:qFormat/>
    <w:rsid w:val="005A1A2F"/>
    <w:rPr>
      <w:color w:val="0067AD"/>
    </w:rPr>
  </w:style>
  <w:style w:type="character" w:customStyle="1" w:styleId="CLBSSChar">
    <w:name w:val="CLB SS Char"/>
    <w:basedOn w:val="CLBGroupChar"/>
    <w:link w:val="CLBSS"/>
    <w:rsid w:val="005A1A2F"/>
    <w:rPr>
      <w:rFonts w:ascii="Avenir LT Std 45 Book" w:hAnsi="Avenir LT Std 45 Book"/>
      <w:color w:val="0067AD"/>
    </w:rPr>
  </w:style>
  <w:style w:type="paragraph" w:customStyle="1" w:styleId="CLBConsult">
    <w:name w:val="CLB Consult"/>
    <w:basedOn w:val="CLBSS"/>
    <w:link w:val="CLBConsultChar"/>
    <w:qFormat/>
    <w:rsid w:val="005A1A2F"/>
    <w:rPr>
      <w:color w:val="00ABE3"/>
    </w:rPr>
  </w:style>
  <w:style w:type="character" w:customStyle="1" w:styleId="CLBConsultChar">
    <w:name w:val="CLB Consult Char"/>
    <w:basedOn w:val="CLBSSChar"/>
    <w:link w:val="CLBConsult"/>
    <w:rsid w:val="005A1A2F"/>
    <w:rPr>
      <w:rFonts w:ascii="Avenir LT Std 45 Book" w:hAnsi="Avenir LT Std 45 Book"/>
      <w:color w:val="00ABE3"/>
    </w:rPr>
  </w:style>
  <w:style w:type="paragraph" w:customStyle="1" w:styleId="CLBEDPB">
    <w:name w:val="CLB EDPB"/>
    <w:basedOn w:val="CLBConsult"/>
    <w:link w:val="CLBEDPBChar"/>
    <w:qFormat/>
    <w:rsid w:val="005A1A2F"/>
    <w:rPr>
      <w:color w:val="8D4C7B"/>
    </w:rPr>
  </w:style>
  <w:style w:type="character" w:customStyle="1" w:styleId="CLBEDPBChar">
    <w:name w:val="CLB EDPB Char"/>
    <w:basedOn w:val="CLBConsultChar"/>
    <w:link w:val="CLBEDPB"/>
    <w:rsid w:val="005A1A2F"/>
    <w:rPr>
      <w:rFonts w:ascii="Avenir LT Std 45 Book" w:hAnsi="Avenir LT Std 45 Book"/>
      <w:color w:val="8D4C7B"/>
    </w:rPr>
  </w:style>
  <w:style w:type="paragraph" w:customStyle="1" w:styleId="CLBMCA">
    <w:name w:val="CLB MCA"/>
    <w:basedOn w:val="CLBEDPB"/>
    <w:link w:val="CLBMCAChar"/>
    <w:qFormat/>
    <w:rsid w:val="005A1A2F"/>
    <w:rPr>
      <w:color w:val="722382"/>
    </w:rPr>
  </w:style>
  <w:style w:type="character" w:customStyle="1" w:styleId="CLBMCAChar">
    <w:name w:val="CLB MCA Char"/>
    <w:basedOn w:val="CLBEDPBChar"/>
    <w:link w:val="CLBMCA"/>
    <w:rsid w:val="005A1A2F"/>
    <w:rPr>
      <w:rFonts w:ascii="Avenir LT Std 45 Book" w:hAnsi="Avenir LT Std 45 Book"/>
      <w:color w:val="722382"/>
    </w:rPr>
  </w:style>
  <w:style w:type="paragraph" w:customStyle="1" w:styleId="CLBVerz">
    <w:name w:val="CLB Verz"/>
    <w:basedOn w:val="CLBMCA"/>
    <w:link w:val="CLBVerzChar"/>
    <w:qFormat/>
    <w:rsid w:val="005A1A2F"/>
    <w:rPr>
      <w:color w:val="8F003E"/>
    </w:rPr>
  </w:style>
  <w:style w:type="character" w:customStyle="1" w:styleId="CLBVerzChar">
    <w:name w:val="CLB Verz Char"/>
    <w:basedOn w:val="CLBMCAChar"/>
    <w:link w:val="CLBVerz"/>
    <w:rsid w:val="005A1A2F"/>
    <w:rPr>
      <w:rFonts w:ascii="Avenir LT Std 45 Book" w:hAnsi="Avenir LT Std 45 Book"/>
      <w:color w:val="8F003E"/>
    </w:rPr>
  </w:style>
  <w:style w:type="paragraph" w:customStyle="1" w:styleId="CLBICT">
    <w:name w:val="CLB ICT"/>
    <w:basedOn w:val="CLBVerz"/>
    <w:link w:val="CLBICTChar"/>
    <w:qFormat/>
    <w:rsid w:val="005A1A2F"/>
    <w:rPr>
      <w:color w:val="ED1C24"/>
    </w:rPr>
  </w:style>
  <w:style w:type="character" w:customStyle="1" w:styleId="CLBICTChar">
    <w:name w:val="CLB ICT Char"/>
    <w:basedOn w:val="CLBVerzChar"/>
    <w:link w:val="CLBICT"/>
    <w:rsid w:val="005A1A2F"/>
    <w:rPr>
      <w:rFonts w:ascii="Avenir LT Std 45 Book" w:hAnsi="Avenir LT Std 45 Book"/>
      <w:color w:val="ED1C24"/>
    </w:rPr>
  </w:style>
  <w:style w:type="paragraph" w:styleId="Lijstalinea">
    <w:name w:val="List Paragraph"/>
    <w:basedOn w:val="Standaard"/>
    <w:uiPriority w:val="34"/>
    <w:qFormat/>
    <w:rsid w:val="00A559C2"/>
    <w:pPr>
      <w:ind w:left="720"/>
      <w:contextualSpacing/>
    </w:pPr>
  </w:style>
  <w:style w:type="paragraph" w:styleId="Ballontekst">
    <w:name w:val="Balloon Text"/>
    <w:basedOn w:val="Standaard"/>
    <w:link w:val="BallontekstChar"/>
    <w:uiPriority w:val="99"/>
    <w:semiHidden/>
    <w:unhideWhenUsed/>
    <w:rsid w:val="007B63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6370"/>
    <w:rPr>
      <w:rFonts w:ascii="Segoe UI" w:hAnsi="Segoe UI" w:cs="Segoe UI"/>
      <w:sz w:val="18"/>
      <w:szCs w:val="18"/>
    </w:rPr>
  </w:style>
  <w:style w:type="table" w:styleId="Tabelraster">
    <w:name w:val="Table Grid"/>
    <w:basedOn w:val="Standaardtabel"/>
    <w:uiPriority w:val="39"/>
    <w:rsid w:val="00BD1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330</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CLB ICT &amp; Hosting</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Houbrechts</dc:creator>
  <cp:keywords/>
  <dc:description/>
  <cp:lastModifiedBy>Anja Houbrechts</cp:lastModifiedBy>
  <cp:revision>6</cp:revision>
  <cp:lastPrinted>2019-07-25T09:05:00Z</cp:lastPrinted>
  <dcterms:created xsi:type="dcterms:W3CDTF">2019-07-25T08:13:00Z</dcterms:created>
  <dcterms:modified xsi:type="dcterms:W3CDTF">2019-09-03T09:05:00Z</dcterms:modified>
</cp:coreProperties>
</file>