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E5" w:rsidRPr="00306656" w:rsidRDefault="004D05D2" w:rsidP="00C04EBA">
      <w:pPr>
        <w:spacing w:after="0" w:line="240" w:lineRule="auto"/>
        <w:jc w:val="both"/>
        <w:rPr>
          <w:b/>
          <w:color w:val="00B050"/>
        </w:rPr>
      </w:pPr>
      <w:r>
        <w:rPr>
          <w:b/>
          <w:color w:val="00B050"/>
        </w:rPr>
        <w:t xml:space="preserve">WELKE BEVOEGDHEDEN HEEFT </w:t>
      </w:r>
      <w:r w:rsidR="00CE21C6">
        <w:rPr>
          <w:b/>
          <w:color w:val="00B050"/>
        </w:rPr>
        <w:t>HET COMITE</w:t>
      </w:r>
      <w:r>
        <w:rPr>
          <w:b/>
          <w:color w:val="00B050"/>
        </w:rPr>
        <w:t>?</w:t>
      </w:r>
    </w:p>
    <w:p w:rsidR="006960A7" w:rsidRDefault="006960A7" w:rsidP="00C04EBA">
      <w:pPr>
        <w:spacing w:after="0" w:line="240" w:lineRule="auto"/>
        <w:jc w:val="both"/>
        <w:rPr>
          <w:color w:val="1F4E79" w:themeColor="accent1" w:themeShade="80"/>
        </w:rPr>
      </w:pPr>
    </w:p>
    <w:p w:rsidR="001521D4" w:rsidRDefault="001521D4" w:rsidP="00C04EBA">
      <w:pPr>
        <w:spacing w:after="0" w:line="240" w:lineRule="auto"/>
        <w:jc w:val="both"/>
        <w:rPr>
          <w:color w:val="1F4E79" w:themeColor="accent1" w:themeShade="80"/>
        </w:rPr>
      </w:pPr>
      <w:r>
        <w:rPr>
          <w:color w:val="1F4E79" w:themeColor="accent1" w:themeShade="80"/>
        </w:rPr>
        <w:t xml:space="preserve">Het comité heeft hoofdzakelijk als opdracht alle middelen op te sporen en voor te stellen en actief bij te dragen tot alles wat wordt ondernomen om het welzijn van de werknemers bij de uitvoering van hun werk te bevorderen. </w:t>
      </w:r>
    </w:p>
    <w:p w:rsidR="001521D4" w:rsidRDefault="001521D4" w:rsidP="00C04EBA">
      <w:pPr>
        <w:spacing w:after="0" w:line="240" w:lineRule="auto"/>
        <w:jc w:val="both"/>
        <w:rPr>
          <w:color w:val="1F4E79" w:themeColor="accent1" w:themeShade="80"/>
        </w:rPr>
      </w:pPr>
    </w:p>
    <w:p w:rsidR="001521D4" w:rsidRDefault="001521D4" w:rsidP="00C04EBA">
      <w:pPr>
        <w:spacing w:after="0" w:line="240" w:lineRule="auto"/>
        <w:jc w:val="both"/>
        <w:rPr>
          <w:color w:val="1F4E79" w:themeColor="accent1" w:themeShade="80"/>
        </w:rPr>
      </w:pPr>
      <w:r>
        <w:rPr>
          <w:color w:val="1F4E79" w:themeColor="accent1" w:themeShade="80"/>
        </w:rPr>
        <w:t>Dit zijn de belangrijkste bevo</w:t>
      </w:r>
      <w:r w:rsidR="002F0344">
        <w:rPr>
          <w:color w:val="1F4E79" w:themeColor="accent1" w:themeShade="80"/>
        </w:rPr>
        <w:t>egdheden van het comité:</w:t>
      </w:r>
    </w:p>
    <w:p w:rsidR="001521D4" w:rsidRDefault="001521D4" w:rsidP="00C04EBA">
      <w:pPr>
        <w:spacing w:after="0" w:line="240" w:lineRule="auto"/>
        <w:jc w:val="both"/>
        <w:rPr>
          <w:color w:val="1F4E79" w:themeColor="accent1" w:themeShade="80"/>
        </w:rPr>
      </w:pPr>
    </w:p>
    <w:p w:rsidR="001521D4" w:rsidRPr="001521D4" w:rsidRDefault="001521D4" w:rsidP="00C04EBA">
      <w:pPr>
        <w:spacing w:after="0" w:line="240" w:lineRule="auto"/>
        <w:jc w:val="both"/>
        <w:rPr>
          <w:b/>
          <w:color w:val="1F4E79" w:themeColor="accent1" w:themeShade="80"/>
        </w:rPr>
      </w:pPr>
      <w:r w:rsidRPr="001521D4">
        <w:rPr>
          <w:b/>
          <w:color w:val="1F4E79" w:themeColor="accent1" w:themeShade="80"/>
        </w:rPr>
        <w:t>Onthaal van nieuwe werknemers</w:t>
      </w:r>
    </w:p>
    <w:p w:rsidR="001521D4" w:rsidRDefault="001521D4" w:rsidP="00C04EBA">
      <w:pPr>
        <w:spacing w:after="0" w:line="240" w:lineRule="auto"/>
        <w:jc w:val="both"/>
        <w:rPr>
          <w:color w:val="1F4E79" w:themeColor="accent1" w:themeShade="80"/>
        </w:rPr>
      </w:pPr>
      <w:r>
        <w:rPr>
          <w:color w:val="1F4E79" w:themeColor="accent1" w:themeShade="80"/>
        </w:rPr>
        <w:t xml:space="preserve">Nieuwe werknemers moeten instructies en vorming krijgen over te nemen veiligheidsvoorzorgen, waarschuwingen voor risico’s, … . Het comité geeft advies over alle maatregelen met betrekking tot het onthaal van nieuwe werknemers in de onderneming. </w:t>
      </w:r>
    </w:p>
    <w:p w:rsidR="001521D4" w:rsidRDefault="001521D4" w:rsidP="00C04EBA">
      <w:pPr>
        <w:spacing w:after="0" w:line="240" w:lineRule="auto"/>
        <w:jc w:val="both"/>
        <w:rPr>
          <w:color w:val="1F4E79" w:themeColor="accent1" w:themeShade="80"/>
        </w:rPr>
      </w:pPr>
    </w:p>
    <w:p w:rsidR="001521D4" w:rsidRPr="001521D4" w:rsidRDefault="001521D4" w:rsidP="00C04EBA">
      <w:pPr>
        <w:spacing w:after="0" w:line="240" w:lineRule="auto"/>
        <w:jc w:val="both"/>
        <w:rPr>
          <w:b/>
          <w:color w:val="1F4E79" w:themeColor="accent1" w:themeShade="80"/>
        </w:rPr>
      </w:pPr>
      <w:r w:rsidRPr="001521D4">
        <w:rPr>
          <w:b/>
          <w:color w:val="1F4E79" w:themeColor="accent1" w:themeShade="80"/>
        </w:rPr>
        <w:t>Onderzoek werkplaatsen</w:t>
      </w:r>
    </w:p>
    <w:p w:rsidR="001521D4" w:rsidRDefault="001521D4" w:rsidP="00C04EBA">
      <w:pPr>
        <w:spacing w:after="0" w:line="240" w:lineRule="auto"/>
        <w:jc w:val="both"/>
        <w:rPr>
          <w:color w:val="1F4E79" w:themeColor="accent1" w:themeShade="80"/>
        </w:rPr>
      </w:pPr>
      <w:r>
        <w:rPr>
          <w:color w:val="1F4E79" w:themeColor="accent1" w:themeShade="80"/>
        </w:rPr>
        <w:t>Ten minste één keer per jaar moet het comité enkele van haar leden afvaardigen om een grondig onderzoek in te stellen op alle werkplaatsen om aanwezige risico’s vast te stellen.</w:t>
      </w:r>
    </w:p>
    <w:p w:rsidR="001521D4" w:rsidRDefault="001521D4" w:rsidP="00C04EBA">
      <w:pPr>
        <w:spacing w:after="0" w:line="240" w:lineRule="auto"/>
        <w:jc w:val="both"/>
        <w:rPr>
          <w:color w:val="1F4E79" w:themeColor="accent1" w:themeShade="80"/>
        </w:rPr>
      </w:pPr>
    </w:p>
    <w:p w:rsidR="001521D4" w:rsidRPr="001521D4" w:rsidRDefault="001521D4" w:rsidP="00C04EBA">
      <w:pPr>
        <w:spacing w:after="0" w:line="240" w:lineRule="auto"/>
        <w:jc w:val="both"/>
        <w:rPr>
          <w:b/>
          <w:color w:val="1F4E79" w:themeColor="accent1" w:themeShade="80"/>
        </w:rPr>
      </w:pPr>
      <w:r w:rsidRPr="001521D4">
        <w:rPr>
          <w:b/>
          <w:color w:val="1F4E79" w:themeColor="accent1" w:themeShade="80"/>
        </w:rPr>
        <w:t>Gezondheidstoezich</w:t>
      </w:r>
      <w:r>
        <w:rPr>
          <w:b/>
          <w:color w:val="1F4E79" w:themeColor="accent1" w:themeShade="80"/>
        </w:rPr>
        <w:t>t</w:t>
      </w:r>
    </w:p>
    <w:p w:rsidR="001521D4" w:rsidRDefault="001521D4" w:rsidP="00C04EBA">
      <w:pPr>
        <w:spacing w:after="0" w:line="240" w:lineRule="auto"/>
        <w:jc w:val="both"/>
        <w:rPr>
          <w:color w:val="1F4E79" w:themeColor="accent1" w:themeShade="80"/>
        </w:rPr>
      </w:pPr>
      <w:r>
        <w:rPr>
          <w:color w:val="1F4E79" w:themeColor="accent1" w:themeShade="80"/>
        </w:rPr>
        <w:t xml:space="preserve">Werknemers die een risicopost bekleden, zijn onderworpen aan een verplicht medisch onderzoek. De werkgever moet deze werknemers op namenlijsten noteren die jaarlijks aan de arbeidsarts worden bezorgd. Het comité moet hierover zijn eensluidend advies geven. Er mag geen enkele werknemer van deze lijst geschrapt worden zonder akkoord van het comité. </w:t>
      </w:r>
    </w:p>
    <w:p w:rsidR="001521D4" w:rsidRDefault="001521D4" w:rsidP="00C04EBA">
      <w:pPr>
        <w:spacing w:after="0" w:line="240" w:lineRule="auto"/>
        <w:jc w:val="both"/>
        <w:rPr>
          <w:color w:val="1F4E79" w:themeColor="accent1" w:themeShade="80"/>
        </w:rPr>
      </w:pPr>
    </w:p>
    <w:p w:rsidR="001521D4" w:rsidRPr="001521D4" w:rsidRDefault="001521D4" w:rsidP="00C04EBA">
      <w:pPr>
        <w:spacing w:after="0" w:line="240" w:lineRule="auto"/>
        <w:jc w:val="both"/>
        <w:rPr>
          <w:b/>
          <w:color w:val="1F4E79" w:themeColor="accent1" w:themeShade="80"/>
        </w:rPr>
      </w:pPr>
      <w:r w:rsidRPr="001521D4">
        <w:rPr>
          <w:b/>
          <w:color w:val="1F4E79" w:themeColor="accent1" w:themeShade="80"/>
        </w:rPr>
        <w:t>Persoonlijke beschermingsmiddelen</w:t>
      </w:r>
    </w:p>
    <w:p w:rsidR="001521D4" w:rsidRDefault="001521D4" w:rsidP="00C04EBA">
      <w:pPr>
        <w:spacing w:after="0" w:line="240" w:lineRule="auto"/>
        <w:jc w:val="both"/>
        <w:rPr>
          <w:color w:val="1F4E79" w:themeColor="accent1" w:themeShade="80"/>
        </w:rPr>
      </w:pPr>
      <w:r>
        <w:rPr>
          <w:color w:val="1F4E79" w:themeColor="accent1" w:themeShade="80"/>
        </w:rPr>
        <w:t xml:space="preserve">Werknemers die een bepaald risico lopen (bv. </w:t>
      </w:r>
      <w:r w:rsidR="005318CE">
        <w:rPr>
          <w:color w:val="1F4E79" w:themeColor="accent1" w:themeShade="80"/>
        </w:rPr>
        <w:t xml:space="preserve">risico op </w:t>
      </w:r>
      <w:r>
        <w:rPr>
          <w:color w:val="1F4E79" w:themeColor="accent1" w:themeShade="80"/>
        </w:rPr>
        <w:t>vallen) moeten persoonlijke beschermingsmiddelen dragen die ter beschikking worden gesteld door de werkgever. Het comité moet voorafgaand advies geven over de keuze, aankoop, onderhoud en gebruik van de persoonlijke beschermingsmiddelen.</w:t>
      </w:r>
    </w:p>
    <w:p w:rsidR="001521D4" w:rsidRDefault="001521D4" w:rsidP="00C04EBA">
      <w:pPr>
        <w:spacing w:after="0" w:line="240" w:lineRule="auto"/>
        <w:jc w:val="both"/>
        <w:rPr>
          <w:color w:val="1F4E79" w:themeColor="accent1" w:themeShade="80"/>
        </w:rPr>
      </w:pPr>
    </w:p>
    <w:p w:rsidR="001521D4" w:rsidRPr="001521D4" w:rsidRDefault="001521D4" w:rsidP="00C04EBA">
      <w:pPr>
        <w:spacing w:after="0" w:line="240" w:lineRule="auto"/>
        <w:jc w:val="both"/>
        <w:rPr>
          <w:b/>
          <w:color w:val="1F4E79" w:themeColor="accent1" w:themeShade="80"/>
        </w:rPr>
      </w:pPr>
      <w:r w:rsidRPr="001521D4">
        <w:rPr>
          <w:b/>
          <w:color w:val="1F4E79" w:themeColor="accent1" w:themeShade="80"/>
        </w:rPr>
        <w:t>Verslag arbeidsarts</w:t>
      </w:r>
    </w:p>
    <w:p w:rsidR="001521D4" w:rsidRDefault="001521D4" w:rsidP="00C04EBA">
      <w:pPr>
        <w:spacing w:after="0" w:line="240" w:lineRule="auto"/>
        <w:jc w:val="both"/>
        <w:rPr>
          <w:color w:val="1F4E79" w:themeColor="accent1" w:themeShade="80"/>
        </w:rPr>
      </w:pPr>
      <w:r>
        <w:rPr>
          <w:color w:val="1F4E79" w:themeColor="accent1" w:themeShade="80"/>
        </w:rPr>
        <w:t>Het comité dient jaarlijks een kopie te krijgen van het verslag van de arbeidsarts.</w:t>
      </w:r>
    </w:p>
    <w:p w:rsidR="001521D4" w:rsidRDefault="001521D4" w:rsidP="00C04EBA">
      <w:pPr>
        <w:spacing w:after="0" w:line="240" w:lineRule="auto"/>
        <w:jc w:val="both"/>
        <w:rPr>
          <w:color w:val="1F4E79" w:themeColor="accent1" w:themeShade="80"/>
        </w:rPr>
      </w:pPr>
    </w:p>
    <w:p w:rsidR="001521D4" w:rsidRPr="001521D4" w:rsidRDefault="001521D4" w:rsidP="00C04EBA">
      <w:pPr>
        <w:spacing w:after="0" w:line="240" w:lineRule="auto"/>
        <w:jc w:val="both"/>
        <w:rPr>
          <w:b/>
          <w:color w:val="1F4E79" w:themeColor="accent1" w:themeShade="80"/>
        </w:rPr>
      </w:pPr>
      <w:r w:rsidRPr="001521D4">
        <w:rPr>
          <w:b/>
          <w:color w:val="1F4E79" w:themeColor="accent1" w:themeShade="80"/>
        </w:rPr>
        <w:t>Ernstig risico, ernstig ongeval of incident</w:t>
      </w:r>
    </w:p>
    <w:p w:rsidR="001521D4" w:rsidRDefault="001521D4" w:rsidP="00C04EBA">
      <w:pPr>
        <w:spacing w:after="0" w:line="240" w:lineRule="auto"/>
        <w:jc w:val="both"/>
        <w:rPr>
          <w:color w:val="1F4E79" w:themeColor="accent1" w:themeShade="80"/>
        </w:rPr>
      </w:pPr>
      <w:r>
        <w:rPr>
          <w:color w:val="1F4E79" w:themeColor="accent1" w:themeShade="80"/>
        </w:rPr>
        <w:t>Het comité moet een afvaardiging aanduiden die zich onmiddellijk ter plaatse begeeft wanneer er ernstige risico’s zijn, waarbij de schade dreigend is en telkens er een ernstig ongeval of incident gebeurd is.</w:t>
      </w:r>
    </w:p>
    <w:p w:rsidR="001521D4" w:rsidRDefault="001521D4" w:rsidP="00C04EBA">
      <w:pPr>
        <w:spacing w:after="0" w:line="240" w:lineRule="auto"/>
        <w:jc w:val="both"/>
        <w:rPr>
          <w:color w:val="1F4E79" w:themeColor="accent1" w:themeShade="80"/>
        </w:rPr>
      </w:pPr>
    </w:p>
    <w:p w:rsidR="001521D4" w:rsidRPr="001521D4" w:rsidRDefault="001521D4" w:rsidP="00C04EBA">
      <w:pPr>
        <w:spacing w:after="0" w:line="240" w:lineRule="auto"/>
        <w:jc w:val="both"/>
        <w:rPr>
          <w:b/>
          <w:color w:val="1F4E79" w:themeColor="accent1" w:themeShade="80"/>
        </w:rPr>
      </w:pPr>
      <w:r w:rsidRPr="001521D4">
        <w:rPr>
          <w:b/>
          <w:color w:val="1F4E79" w:themeColor="accent1" w:themeShade="80"/>
        </w:rPr>
        <w:t>Sanitaire voorzieningen</w:t>
      </w:r>
    </w:p>
    <w:p w:rsidR="001521D4" w:rsidRDefault="001521D4" w:rsidP="00C04EBA">
      <w:pPr>
        <w:spacing w:after="0" w:line="240" w:lineRule="auto"/>
        <w:jc w:val="both"/>
        <w:rPr>
          <w:color w:val="1F4E79" w:themeColor="accent1" w:themeShade="80"/>
        </w:rPr>
      </w:pPr>
      <w:r>
        <w:rPr>
          <w:color w:val="1F4E79" w:themeColor="accent1" w:themeShade="80"/>
        </w:rPr>
        <w:t>De werkgever moet een aantal sanitaire voorzieningen ter beschikking stellen van de werknemers. De ligging, toegangsmodaliteiten en toegangsuren tot de kleedkamers, refters, wasplaatsen enz. moeten in akkoord met het comité worden vastgesteld.</w:t>
      </w:r>
    </w:p>
    <w:p w:rsidR="001521D4" w:rsidRDefault="001521D4" w:rsidP="00C04EBA">
      <w:pPr>
        <w:spacing w:after="0" w:line="240" w:lineRule="auto"/>
        <w:jc w:val="both"/>
        <w:rPr>
          <w:color w:val="1F4E79" w:themeColor="accent1" w:themeShade="80"/>
        </w:rPr>
      </w:pPr>
    </w:p>
    <w:p w:rsidR="001521D4" w:rsidRPr="001521D4" w:rsidRDefault="001521D4" w:rsidP="00C04EBA">
      <w:pPr>
        <w:spacing w:after="0" w:line="240" w:lineRule="auto"/>
        <w:jc w:val="both"/>
        <w:rPr>
          <w:b/>
          <w:color w:val="1F4E79" w:themeColor="accent1" w:themeShade="80"/>
        </w:rPr>
      </w:pPr>
      <w:r w:rsidRPr="001521D4">
        <w:rPr>
          <w:b/>
          <w:color w:val="1F4E79" w:themeColor="accent1" w:themeShade="80"/>
        </w:rPr>
        <w:t>Externe dienst PBW</w:t>
      </w:r>
    </w:p>
    <w:p w:rsidR="001521D4" w:rsidRDefault="001521D4" w:rsidP="00C04EBA">
      <w:pPr>
        <w:spacing w:after="0" w:line="240" w:lineRule="auto"/>
        <w:jc w:val="both"/>
        <w:rPr>
          <w:color w:val="1F4E79" w:themeColor="accent1" w:themeShade="80"/>
        </w:rPr>
      </w:pPr>
      <w:r>
        <w:rPr>
          <w:color w:val="1F4E79" w:themeColor="accent1" w:themeShade="80"/>
        </w:rPr>
        <w:t xml:space="preserve">De werkgever kan beslissen om bepaalde welzijnstaken uit te besteden aan een externe  dienst voor preventie en bescherming op het werk. Hij moet hiervoor voorafgaand het advies van het comité vragen. </w:t>
      </w:r>
    </w:p>
    <w:p w:rsidR="001521D4" w:rsidRDefault="001521D4" w:rsidP="00C04EBA">
      <w:pPr>
        <w:spacing w:after="0" w:line="240" w:lineRule="auto"/>
        <w:jc w:val="both"/>
        <w:rPr>
          <w:color w:val="1F4E79" w:themeColor="accent1" w:themeShade="80"/>
        </w:rPr>
      </w:pPr>
    </w:p>
    <w:p w:rsidR="001521D4" w:rsidRPr="004376B0" w:rsidRDefault="001521D4" w:rsidP="00C04EBA">
      <w:pPr>
        <w:spacing w:after="0" w:line="240" w:lineRule="auto"/>
        <w:jc w:val="both"/>
        <w:rPr>
          <w:b/>
          <w:color w:val="1F4E79" w:themeColor="accent1" w:themeShade="80"/>
        </w:rPr>
      </w:pPr>
      <w:r w:rsidRPr="004376B0">
        <w:rPr>
          <w:b/>
          <w:color w:val="1F4E79" w:themeColor="accent1" w:themeShade="80"/>
        </w:rPr>
        <w:t>Economische-financiële informatie</w:t>
      </w:r>
    </w:p>
    <w:p w:rsidR="001521D4" w:rsidRDefault="001521D4" w:rsidP="00C04EBA">
      <w:pPr>
        <w:spacing w:after="0" w:line="240" w:lineRule="auto"/>
        <w:jc w:val="both"/>
        <w:rPr>
          <w:color w:val="1F4E79" w:themeColor="accent1" w:themeShade="80"/>
        </w:rPr>
      </w:pPr>
      <w:r>
        <w:rPr>
          <w:color w:val="1F4E79" w:themeColor="accent1" w:themeShade="80"/>
        </w:rPr>
        <w:t xml:space="preserve">Indien in de onderneming geen ondernemingsraad aanwezig is, moet het comité economische en financiële informatie ontvangen vanwege de werkgever. </w:t>
      </w:r>
    </w:p>
    <w:p w:rsidR="004376B0" w:rsidRDefault="004376B0" w:rsidP="00C04EBA">
      <w:pPr>
        <w:spacing w:after="0" w:line="240" w:lineRule="auto"/>
        <w:jc w:val="both"/>
        <w:rPr>
          <w:color w:val="1F4E79" w:themeColor="accent1" w:themeShade="80"/>
        </w:rPr>
      </w:pPr>
      <w:r>
        <w:rPr>
          <w:color w:val="1F4E79" w:themeColor="accent1" w:themeShade="80"/>
        </w:rPr>
        <w:t xml:space="preserve">Het moet basisinformatie krijgen over het statuut van de onderneming, de concurrentiepositie van de onderneming op de markt, de productie en productiviteit en het programma en </w:t>
      </w:r>
      <w:r>
        <w:rPr>
          <w:color w:val="1F4E79" w:themeColor="accent1" w:themeShade="80"/>
        </w:rPr>
        <w:lastRenderedPageBreak/>
        <w:t xml:space="preserve">algemene toekomstverwachtingen van de onderneming. Deze informatie moet aan de leden van het comité worden meegedeeld uiterlijk twee maanden na de </w:t>
      </w:r>
      <w:hyperlink r:id="rId6" w:history="1">
        <w:r w:rsidRPr="005318CE">
          <w:rPr>
            <w:rStyle w:val="Hyperlink"/>
          </w:rPr>
          <w:t>installatie</w:t>
        </w:r>
        <w:r w:rsidR="005318CE" w:rsidRPr="005318CE">
          <w:rPr>
            <w:rStyle w:val="Hyperlink"/>
          </w:rPr>
          <w:t>vergadering</w:t>
        </w:r>
      </w:hyperlink>
      <w:bookmarkStart w:id="0" w:name="_GoBack"/>
      <w:bookmarkEnd w:id="0"/>
      <w:r>
        <w:rPr>
          <w:color w:val="1F4E79" w:themeColor="accent1" w:themeShade="80"/>
        </w:rPr>
        <w:t>.</w:t>
      </w:r>
    </w:p>
    <w:p w:rsidR="004376B0" w:rsidRDefault="004376B0" w:rsidP="00C04EBA">
      <w:pPr>
        <w:spacing w:after="0" w:line="240" w:lineRule="auto"/>
        <w:jc w:val="both"/>
        <w:rPr>
          <w:color w:val="1F4E79" w:themeColor="accent1" w:themeShade="80"/>
        </w:rPr>
      </w:pPr>
      <w:r>
        <w:rPr>
          <w:color w:val="1F4E79" w:themeColor="accent1" w:themeShade="80"/>
        </w:rPr>
        <w:t>Verder ontvangt het comité jaarlijks een exemplaar van de balans, van de winst- en verliesrekening, de bijlage en het jaaroverzicht.</w:t>
      </w:r>
    </w:p>
    <w:p w:rsidR="004376B0" w:rsidRDefault="004376B0" w:rsidP="00C04EBA">
      <w:pPr>
        <w:spacing w:after="0" w:line="240" w:lineRule="auto"/>
        <w:jc w:val="both"/>
        <w:rPr>
          <w:color w:val="1F4E79" w:themeColor="accent1" w:themeShade="80"/>
        </w:rPr>
      </w:pPr>
    </w:p>
    <w:p w:rsidR="004376B0" w:rsidRPr="004376B0" w:rsidRDefault="004376B0" w:rsidP="00C04EBA">
      <w:pPr>
        <w:spacing w:after="0" w:line="240" w:lineRule="auto"/>
        <w:jc w:val="both"/>
        <w:rPr>
          <w:b/>
          <w:color w:val="1F4E79" w:themeColor="accent1" w:themeShade="80"/>
        </w:rPr>
      </w:pPr>
      <w:r w:rsidRPr="004376B0">
        <w:rPr>
          <w:b/>
          <w:color w:val="1F4E79" w:themeColor="accent1" w:themeShade="80"/>
        </w:rPr>
        <w:t>Tewerkstellingsinformatie</w:t>
      </w:r>
    </w:p>
    <w:p w:rsidR="004376B0" w:rsidRDefault="004376B0" w:rsidP="00C04EBA">
      <w:pPr>
        <w:spacing w:after="0" w:line="240" w:lineRule="auto"/>
        <w:jc w:val="both"/>
        <w:rPr>
          <w:color w:val="1F4E79" w:themeColor="accent1" w:themeShade="80"/>
        </w:rPr>
      </w:pPr>
      <w:r>
        <w:rPr>
          <w:color w:val="1F4E79" w:themeColor="accent1" w:themeShade="80"/>
        </w:rPr>
        <w:t xml:space="preserve">Indien in de onderneming noch een ondernemingsraad, noch een vakbondsafvaardiging aanwezig is, </w:t>
      </w:r>
      <w:r w:rsidR="002F0344">
        <w:rPr>
          <w:color w:val="1F4E79" w:themeColor="accent1" w:themeShade="80"/>
        </w:rPr>
        <w:t>heeft het comité recht op informatie en raadpleging:</w:t>
      </w:r>
    </w:p>
    <w:p w:rsidR="002F0344" w:rsidRDefault="002F0344" w:rsidP="002F0344">
      <w:pPr>
        <w:pStyle w:val="Lijstalinea"/>
        <w:numPr>
          <w:ilvl w:val="0"/>
          <w:numId w:val="5"/>
        </w:numPr>
        <w:spacing w:after="0" w:line="240" w:lineRule="auto"/>
        <w:jc w:val="both"/>
        <w:rPr>
          <w:color w:val="1F4E79" w:themeColor="accent1" w:themeShade="80"/>
        </w:rPr>
      </w:pPr>
      <w:r>
        <w:rPr>
          <w:color w:val="1F4E79" w:themeColor="accent1" w:themeShade="80"/>
        </w:rPr>
        <w:t>voorafgaande informatie en raadpleging over beslissingen die ingrijpende wijzigingen kunnen meebrengen voor de arbeidsorganisatie en arbeidsovereenkomsten;</w:t>
      </w:r>
    </w:p>
    <w:p w:rsidR="002F0344" w:rsidRDefault="002F0344" w:rsidP="002F0344">
      <w:pPr>
        <w:pStyle w:val="Lijstalinea"/>
        <w:numPr>
          <w:ilvl w:val="0"/>
          <w:numId w:val="5"/>
        </w:numPr>
        <w:spacing w:after="0" w:line="240" w:lineRule="auto"/>
        <w:jc w:val="both"/>
        <w:rPr>
          <w:color w:val="1F4E79" w:themeColor="accent1" w:themeShade="80"/>
        </w:rPr>
      </w:pPr>
      <w:r>
        <w:rPr>
          <w:color w:val="1F4E79" w:themeColor="accent1" w:themeShade="80"/>
        </w:rPr>
        <w:t>tewerkstellingsinformatie en tewerkstellingsperspectieven;</w:t>
      </w:r>
    </w:p>
    <w:p w:rsidR="002F0344" w:rsidRDefault="002F0344" w:rsidP="002F0344">
      <w:pPr>
        <w:pStyle w:val="Lijstalinea"/>
        <w:numPr>
          <w:ilvl w:val="0"/>
          <w:numId w:val="5"/>
        </w:numPr>
        <w:spacing w:after="0" w:line="240" w:lineRule="auto"/>
        <w:jc w:val="both"/>
        <w:rPr>
          <w:color w:val="1F4E79" w:themeColor="accent1" w:themeShade="80"/>
        </w:rPr>
      </w:pPr>
      <w:r>
        <w:rPr>
          <w:color w:val="1F4E79" w:themeColor="accent1" w:themeShade="80"/>
        </w:rPr>
        <w:t>structuurwijzigingen;</w:t>
      </w:r>
    </w:p>
    <w:p w:rsidR="002F0344" w:rsidRDefault="002F0344" w:rsidP="002F0344">
      <w:pPr>
        <w:pStyle w:val="Lijstalinea"/>
        <w:numPr>
          <w:ilvl w:val="0"/>
          <w:numId w:val="5"/>
        </w:numPr>
        <w:spacing w:after="0" w:line="240" w:lineRule="auto"/>
        <w:jc w:val="both"/>
        <w:rPr>
          <w:color w:val="1F4E79" w:themeColor="accent1" w:themeShade="80"/>
        </w:rPr>
      </w:pPr>
      <w:r>
        <w:rPr>
          <w:color w:val="1F4E79" w:themeColor="accent1" w:themeShade="80"/>
        </w:rPr>
        <w:t>nieuwe technologieën;</w:t>
      </w:r>
    </w:p>
    <w:p w:rsidR="002F0344" w:rsidRDefault="002F0344" w:rsidP="002F0344">
      <w:pPr>
        <w:pStyle w:val="Lijstalinea"/>
        <w:numPr>
          <w:ilvl w:val="0"/>
          <w:numId w:val="5"/>
        </w:numPr>
        <w:spacing w:after="0" w:line="240" w:lineRule="auto"/>
        <w:jc w:val="both"/>
        <w:rPr>
          <w:color w:val="1F4E79" w:themeColor="accent1" w:themeShade="80"/>
        </w:rPr>
      </w:pPr>
      <w:r>
        <w:rPr>
          <w:color w:val="1F4E79" w:themeColor="accent1" w:themeShade="80"/>
        </w:rPr>
        <w:t>invoering van nachtarbeid of nieuwe arbeidsregelingen;</w:t>
      </w:r>
    </w:p>
    <w:p w:rsidR="002F0344" w:rsidRPr="002F0344" w:rsidRDefault="002F0344" w:rsidP="002F0344">
      <w:pPr>
        <w:pStyle w:val="Lijstalinea"/>
        <w:numPr>
          <w:ilvl w:val="0"/>
          <w:numId w:val="5"/>
        </w:numPr>
        <w:spacing w:after="0" w:line="240" w:lineRule="auto"/>
        <w:jc w:val="both"/>
        <w:rPr>
          <w:color w:val="1F4E79" w:themeColor="accent1" w:themeShade="80"/>
        </w:rPr>
      </w:pPr>
      <w:r>
        <w:rPr>
          <w:color w:val="1F4E79" w:themeColor="accent1" w:themeShade="80"/>
        </w:rPr>
        <w:t>collectief ontslag.</w:t>
      </w:r>
    </w:p>
    <w:sectPr w:rsidR="002F0344" w:rsidRPr="002F0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75.3pt;height:174.7pt" o:bullet="t">
        <v:imagedata r:id="rId1" o:title="opsomming SS"/>
      </v:shape>
    </w:pict>
  </w:numPicBullet>
  <w:abstractNum w:abstractNumId="0" w15:restartNumberingAfterBreak="0">
    <w:nsid w:val="0A4C2DEE"/>
    <w:multiLevelType w:val="hybridMultilevel"/>
    <w:tmpl w:val="6DDE51B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E3779A3"/>
    <w:multiLevelType w:val="hybridMultilevel"/>
    <w:tmpl w:val="4B7641D4"/>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2EE38E9"/>
    <w:multiLevelType w:val="hybridMultilevel"/>
    <w:tmpl w:val="7176329E"/>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B8F4205"/>
    <w:multiLevelType w:val="hybridMultilevel"/>
    <w:tmpl w:val="D3A285E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DDC0E28"/>
    <w:multiLevelType w:val="hybridMultilevel"/>
    <w:tmpl w:val="805E360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61"/>
    <w:rsid w:val="00070954"/>
    <w:rsid w:val="001521D4"/>
    <w:rsid w:val="00156A2B"/>
    <w:rsid w:val="00164561"/>
    <w:rsid w:val="00234E0C"/>
    <w:rsid w:val="002F0344"/>
    <w:rsid w:val="00306656"/>
    <w:rsid w:val="004376B0"/>
    <w:rsid w:val="004D05D2"/>
    <w:rsid w:val="005025A6"/>
    <w:rsid w:val="005318CE"/>
    <w:rsid w:val="005A1A2F"/>
    <w:rsid w:val="006960A7"/>
    <w:rsid w:val="00742252"/>
    <w:rsid w:val="00752024"/>
    <w:rsid w:val="00774B25"/>
    <w:rsid w:val="0078556E"/>
    <w:rsid w:val="0083591D"/>
    <w:rsid w:val="0087156E"/>
    <w:rsid w:val="00967CE5"/>
    <w:rsid w:val="009946B0"/>
    <w:rsid w:val="00BD7577"/>
    <w:rsid w:val="00BE1626"/>
    <w:rsid w:val="00C04EBA"/>
    <w:rsid w:val="00CD0A9D"/>
    <w:rsid w:val="00CD1F48"/>
    <w:rsid w:val="00CE21C6"/>
    <w:rsid w:val="00D47078"/>
    <w:rsid w:val="00DB71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254FEF-3FBC-4D53-9454-7D2B33D9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45 Book" w:eastAsiaTheme="minorHAnsi" w:hAnsi="Avenir LT Std 45 Book"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LBGroup">
    <w:name w:val="CLB Group"/>
    <w:basedOn w:val="Standaard"/>
    <w:link w:val="CLBGroupChar"/>
    <w:qFormat/>
    <w:rsid w:val="005A1A2F"/>
    <w:rPr>
      <w:color w:val="073288"/>
    </w:rPr>
  </w:style>
  <w:style w:type="character" w:customStyle="1" w:styleId="CLBGroupChar">
    <w:name w:val="CLB Group Char"/>
    <w:basedOn w:val="Standaardalinea-lettertype"/>
    <w:link w:val="CLBGroup"/>
    <w:rsid w:val="005A1A2F"/>
    <w:rPr>
      <w:rFonts w:ascii="Avenir LT Std 45 Book" w:hAnsi="Avenir LT Std 45 Book"/>
      <w:color w:val="073288"/>
    </w:rPr>
  </w:style>
  <w:style w:type="paragraph" w:customStyle="1" w:styleId="CLBSS">
    <w:name w:val="CLB SS"/>
    <w:basedOn w:val="CLBGroup"/>
    <w:link w:val="CLBSSChar"/>
    <w:qFormat/>
    <w:rsid w:val="005A1A2F"/>
    <w:rPr>
      <w:color w:val="0067AD"/>
    </w:rPr>
  </w:style>
  <w:style w:type="character" w:customStyle="1" w:styleId="CLBSSChar">
    <w:name w:val="CLB SS Char"/>
    <w:basedOn w:val="CLBGroupChar"/>
    <w:link w:val="CLBSS"/>
    <w:rsid w:val="005A1A2F"/>
    <w:rPr>
      <w:rFonts w:ascii="Avenir LT Std 45 Book" w:hAnsi="Avenir LT Std 45 Book"/>
      <w:color w:val="0067AD"/>
    </w:rPr>
  </w:style>
  <w:style w:type="paragraph" w:customStyle="1" w:styleId="CLBConsult">
    <w:name w:val="CLB Consult"/>
    <w:basedOn w:val="CLBSS"/>
    <w:link w:val="CLBConsultChar"/>
    <w:qFormat/>
    <w:rsid w:val="005A1A2F"/>
    <w:rPr>
      <w:color w:val="00ABE3"/>
    </w:rPr>
  </w:style>
  <w:style w:type="character" w:customStyle="1" w:styleId="CLBConsultChar">
    <w:name w:val="CLB Consult Char"/>
    <w:basedOn w:val="CLBSSChar"/>
    <w:link w:val="CLBConsult"/>
    <w:rsid w:val="005A1A2F"/>
    <w:rPr>
      <w:rFonts w:ascii="Avenir LT Std 45 Book" w:hAnsi="Avenir LT Std 45 Book"/>
      <w:color w:val="00ABE3"/>
    </w:rPr>
  </w:style>
  <w:style w:type="paragraph" w:customStyle="1" w:styleId="CLBEDPB">
    <w:name w:val="CLB EDPB"/>
    <w:basedOn w:val="CLBConsult"/>
    <w:link w:val="CLBEDPBChar"/>
    <w:qFormat/>
    <w:rsid w:val="005A1A2F"/>
    <w:rPr>
      <w:color w:val="8D4C7B"/>
    </w:rPr>
  </w:style>
  <w:style w:type="character" w:customStyle="1" w:styleId="CLBEDPBChar">
    <w:name w:val="CLB EDPB Char"/>
    <w:basedOn w:val="CLBConsultChar"/>
    <w:link w:val="CLBEDPB"/>
    <w:rsid w:val="005A1A2F"/>
    <w:rPr>
      <w:rFonts w:ascii="Avenir LT Std 45 Book" w:hAnsi="Avenir LT Std 45 Book"/>
      <w:color w:val="8D4C7B"/>
    </w:rPr>
  </w:style>
  <w:style w:type="paragraph" w:customStyle="1" w:styleId="CLBMCA">
    <w:name w:val="CLB MCA"/>
    <w:basedOn w:val="CLBEDPB"/>
    <w:link w:val="CLBMCAChar"/>
    <w:qFormat/>
    <w:rsid w:val="005A1A2F"/>
    <w:rPr>
      <w:color w:val="722382"/>
    </w:rPr>
  </w:style>
  <w:style w:type="character" w:customStyle="1" w:styleId="CLBMCAChar">
    <w:name w:val="CLB MCA Char"/>
    <w:basedOn w:val="CLBEDPBChar"/>
    <w:link w:val="CLBMCA"/>
    <w:rsid w:val="005A1A2F"/>
    <w:rPr>
      <w:rFonts w:ascii="Avenir LT Std 45 Book" w:hAnsi="Avenir LT Std 45 Book"/>
      <w:color w:val="722382"/>
    </w:rPr>
  </w:style>
  <w:style w:type="paragraph" w:customStyle="1" w:styleId="CLBVerz">
    <w:name w:val="CLB Verz"/>
    <w:basedOn w:val="CLBMCA"/>
    <w:link w:val="CLBVerzChar"/>
    <w:qFormat/>
    <w:rsid w:val="005A1A2F"/>
    <w:rPr>
      <w:color w:val="8F003E"/>
    </w:rPr>
  </w:style>
  <w:style w:type="character" w:customStyle="1" w:styleId="CLBVerzChar">
    <w:name w:val="CLB Verz Char"/>
    <w:basedOn w:val="CLBMCAChar"/>
    <w:link w:val="CLBVerz"/>
    <w:rsid w:val="005A1A2F"/>
    <w:rPr>
      <w:rFonts w:ascii="Avenir LT Std 45 Book" w:hAnsi="Avenir LT Std 45 Book"/>
      <w:color w:val="8F003E"/>
    </w:rPr>
  </w:style>
  <w:style w:type="paragraph" w:customStyle="1" w:styleId="CLBICT">
    <w:name w:val="CLB ICT"/>
    <w:basedOn w:val="CLBVerz"/>
    <w:link w:val="CLBICTChar"/>
    <w:qFormat/>
    <w:rsid w:val="005A1A2F"/>
    <w:rPr>
      <w:color w:val="ED1C24"/>
    </w:rPr>
  </w:style>
  <w:style w:type="character" w:customStyle="1" w:styleId="CLBICTChar">
    <w:name w:val="CLB ICT Char"/>
    <w:basedOn w:val="CLBVerzChar"/>
    <w:link w:val="CLBICT"/>
    <w:rsid w:val="005A1A2F"/>
    <w:rPr>
      <w:rFonts w:ascii="Avenir LT Std 45 Book" w:hAnsi="Avenir LT Std 45 Book"/>
      <w:color w:val="ED1C24"/>
    </w:rPr>
  </w:style>
  <w:style w:type="character" w:styleId="Hyperlink">
    <w:name w:val="Hyperlink"/>
    <w:basedOn w:val="Standaardalinea-lettertype"/>
    <w:uiPriority w:val="99"/>
    <w:unhideWhenUsed/>
    <w:rsid w:val="006960A7"/>
    <w:rPr>
      <w:color w:val="0563C1" w:themeColor="hyperlink"/>
      <w:u w:val="single"/>
    </w:rPr>
  </w:style>
  <w:style w:type="paragraph" w:styleId="Lijstalinea">
    <w:name w:val="List Paragraph"/>
    <w:basedOn w:val="Standaard"/>
    <w:uiPriority w:val="34"/>
    <w:qFormat/>
    <w:rsid w:val="006960A7"/>
    <w:pPr>
      <w:ind w:left="720"/>
      <w:contextualSpacing/>
    </w:pPr>
  </w:style>
  <w:style w:type="table" w:styleId="Tabelraster">
    <w:name w:val="Table Grid"/>
    <w:basedOn w:val="Standaardtabel"/>
    <w:uiPriority w:val="39"/>
    <w:rsid w:val="0087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EERSTE%20VERGADERING.docx"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4FE0-BE19-4ED7-A4D3-BE34E5BE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CLB ICT &amp; Hosting</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Houbrechts</dc:creator>
  <cp:keywords/>
  <dc:description/>
  <cp:lastModifiedBy>Anja Houbrechts</cp:lastModifiedBy>
  <cp:revision>7</cp:revision>
  <dcterms:created xsi:type="dcterms:W3CDTF">2019-07-19T13:27:00Z</dcterms:created>
  <dcterms:modified xsi:type="dcterms:W3CDTF">2019-07-25T09:42:00Z</dcterms:modified>
</cp:coreProperties>
</file>